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D8829" w14:textId="48C60094" w:rsidR="0061504E" w:rsidRPr="00000990" w:rsidRDefault="0061504E" w:rsidP="0061504E">
      <w:pPr>
        <w:pStyle w:val="Title"/>
      </w:pPr>
    </w:p>
    <w:p w14:paraId="45CD52BA" w14:textId="77777777" w:rsidR="0061504E" w:rsidRPr="00000990" w:rsidRDefault="0061504E" w:rsidP="0061504E">
      <w:pPr>
        <w:pStyle w:val="Title"/>
      </w:pPr>
    </w:p>
    <w:p w14:paraId="70EB8E7F" w14:textId="77777777" w:rsidR="0061504E" w:rsidRPr="00000990" w:rsidRDefault="0061504E" w:rsidP="0061504E">
      <w:pPr>
        <w:pStyle w:val="Title"/>
      </w:pPr>
    </w:p>
    <w:p w14:paraId="17C691AE" w14:textId="77777777" w:rsidR="0061504E" w:rsidRPr="00000990" w:rsidRDefault="0061504E" w:rsidP="0061504E">
      <w:pPr>
        <w:pStyle w:val="Title"/>
      </w:pPr>
    </w:p>
    <w:p w14:paraId="37CF7749" w14:textId="77777777" w:rsidR="0061504E" w:rsidRPr="00000990" w:rsidRDefault="0061504E" w:rsidP="0061504E">
      <w:pPr>
        <w:pStyle w:val="Title"/>
      </w:pPr>
    </w:p>
    <w:p w14:paraId="2D1FF267" w14:textId="77777777" w:rsidR="0061504E" w:rsidRPr="00000990" w:rsidRDefault="0061504E" w:rsidP="0061504E">
      <w:pPr>
        <w:pStyle w:val="Title"/>
        <w:rPr>
          <w:smallCaps/>
        </w:rPr>
      </w:pPr>
      <w:r>
        <w:t>mRNA-1273</w:t>
      </w:r>
    </w:p>
    <w:p w14:paraId="3DA32CD0" w14:textId="77777777" w:rsidR="0061504E" w:rsidRPr="00000990" w:rsidRDefault="0061504E" w:rsidP="0061504E">
      <w:pPr>
        <w:pStyle w:val="Title"/>
        <w:tabs>
          <w:tab w:val="left" w:pos="3585"/>
        </w:tabs>
        <w:jc w:val="left"/>
      </w:pPr>
    </w:p>
    <w:p w14:paraId="37FB07C5" w14:textId="77777777" w:rsidR="0061504E" w:rsidRPr="00000990" w:rsidRDefault="0061504E" w:rsidP="0061504E">
      <w:pPr>
        <w:pStyle w:val="Title"/>
      </w:pPr>
    </w:p>
    <w:p w14:paraId="3465F319" w14:textId="77777777" w:rsidR="0061504E" w:rsidRPr="00000990" w:rsidRDefault="0061504E" w:rsidP="0061504E">
      <w:pPr>
        <w:pStyle w:val="Title"/>
      </w:pPr>
    </w:p>
    <w:p w14:paraId="462BDA74" w14:textId="3CB10B3A" w:rsidR="0061504E" w:rsidRPr="00000990" w:rsidRDefault="0061504E" w:rsidP="0061504E">
      <w:pPr>
        <w:pStyle w:val="Title"/>
        <w:rPr>
          <w:smallCaps/>
        </w:rPr>
      </w:pPr>
      <w:r>
        <w:t>Sponsor Br</w:t>
      </w:r>
      <w:r w:rsidRPr="008749F8">
        <w:t>iefing Do</w:t>
      </w:r>
      <w:r>
        <w:t>cument Addendum</w:t>
      </w:r>
    </w:p>
    <w:p w14:paraId="1B685BD9" w14:textId="77777777" w:rsidR="0061504E" w:rsidRPr="00000990" w:rsidRDefault="0061504E" w:rsidP="0061504E">
      <w:pPr>
        <w:pStyle w:val="Title"/>
      </w:pPr>
    </w:p>
    <w:p w14:paraId="0D986728" w14:textId="77777777" w:rsidR="0061504E" w:rsidRPr="00193C61" w:rsidRDefault="0061504E" w:rsidP="0061504E"/>
    <w:p w14:paraId="2ABA1C69" w14:textId="77777777" w:rsidR="0061504E" w:rsidRPr="00000990" w:rsidRDefault="0061504E" w:rsidP="0061504E">
      <w:pPr>
        <w:pStyle w:val="Title"/>
      </w:pPr>
    </w:p>
    <w:p w14:paraId="40E0A86F" w14:textId="77777777" w:rsidR="0061504E" w:rsidRDefault="0061504E" w:rsidP="0061504E">
      <w:pPr>
        <w:pStyle w:val="Title"/>
      </w:pPr>
      <w:r>
        <w:t xml:space="preserve">Vaccines and Related Biological Products </w:t>
      </w:r>
    </w:p>
    <w:p w14:paraId="05AA7E53" w14:textId="77777777" w:rsidR="0061504E" w:rsidRPr="00000990" w:rsidRDefault="0061504E" w:rsidP="0061504E">
      <w:pPr>
        <w:pStyle w:val="Title"/>
        <w:rPr>
          <w:smallCaps/>
        </w:rPr>
      </w:pPr>
      <w:r w:rsidRPr="00000990">
        <w:t>Advisory Committee</w:t>
      </w:r>
    </w:p>
    <w:p w14:paraId="78BCDB04" w14:textId="77777777" w:rsidR="0061504E" w:rsidRPr="00000990" w:rsidRDefault="0061504E" w:rsidP="0061504E">
      <w:pPr>
        <w:pStyle w:val="Title"/>
      </w:pPr>
    </w:p>
    <w:p w14:paraId="002B1062" w14:textId="77777777" w:rsidR="0061504E" w:rsidRPr="00000990" w:rsidRDefault="0061504E" w:rsidP="0061504E">
      <w:pPr>
        <w:pStyle w:val="Title"/>
        <w:tabs>
          <w:tab w:val="left" w:pos="7065"/>
        </w:tabs>
        <w:jc w:val="left"/>
      </w:pPr>
      <w:r>
        <w:tab/>
      </w:r>
    </w:p>
    <w:p w14:paraId="0F2030AF" w14:textId="77777777" w:rsidR="0061504E" w:rsidRPr="00000990" w:rsidRDefault="0061504E" w:rsidP="0061504E">
      <w:pPr>
        <w:pStyle w:val="Title"/>
      </w:pPr>
    </w:p>
    <w:p w14:paraId="60F85C13" w14:textId="77777777" w:rsidR="0061504E" w:rsidRPr="00000990" w:rsidRDefault="0061504E" w:rsidP="0061504E">
      <w:pPr>
        <w:pStyle w:val="Title"/>
      </w:pPr>
    </w:p>
    <w:p w14:paraId="32F13D72" w14:textId="77777777" w:rsidR="0061504E" w:rsidRPr="00000990" w:rsidRDefault="0061504E" w:rsidP="0061504E">
      <w:pPr>
        <w:pStyle w:val="Title"/>
        <w:rPr>
          <w:smallCaps/>
        </w:rPr>
      </w:pPr>
      <w:r w:rsidRPr="00000990">
        <w:t xml:space="preserve">Meeting Date: </w:t>
      </w:r>
      <w:r>
        <w:t>17 December 2020</w:t>
      </w:r>
    </w:p>
    <w:p w14:paraId="6BCF03B8" w14:textId="77777777" w:rsidR="0061504E" w:rsidRPr="00000990" w:rsidRDefault="0061504E" w:rsidP="0061504E">
      <w:pPr>
        <w:pStyle w:val="Title"/>
      </w:pPr>
    </w:p>
    <w:p w14:paraId="7FCEAAB8" w14:textId="77777777" w:rsidR="0061504E" w:rsidRPr="00000990" w:rsidRDefault="0061504E" w:rsidP="0061504E">
      <w:pPr>
        <w:pStyle w:val="Title"/>
      </w:pPr>
    </w:p>
    <w:p w14:paraId="36783EDE" w14:textId="77777777" w:rsidR="0061504E" w:rsidRDefault="0061504E" w:rsidP="0061504E">
      <w:pPr>
        <w:pStyle w:val="TitleItalics"/>
        <w:rPr>
          <w:color w:val="FF0000"/>
        </w:rPr>
      </w:pPr>
    </w:p>
    <w:p w14:paraId="3E10A563" w14:textId="77777777" w:rsidR="0061504E" w:rsidRDefault="0061504E" w:rsidP="0061504E">
      <w:pPr>
        <w:pStyle w:val="TitleItalics"/>
        <w:rPr>
          <w:color w:val="FF0000"/>
        </w:rPr>
      </w:pPr>
    </w:p>
    <w:p w14:paraId="1FA59F88" w14:textId="77777777" w:rsidR="0061504E" w:rsidRPr="00193C61" w:rsidRDefault="0061504E" w:rsidP="0061504E">
      <w:pPr>
        <w:pStyle w:val="TitleItalics"/>
        <w:rPr>
          <w:i w:val="0"/>
          <w:smallCaps/>
        </w:rPr>
      </w:pPr>
      <w:r w:rsidRPr="00193C61">
        <w:rPr>
          <w:i w:val="0"/>
          <w:iCs w:val="0"/>
        </w:rPr>
        <w:t>Available for Public Release</w:t>
      </w:r>
    </w:p>
    <w:p w14:paraId="0E139F35" w14:textId="7A512B9A" w:rsidR="0061504E" w:rsidRDefault="0061504E">
      <w:pPr>
        <w:spacing w:after="0" w:line="240" w:lineRule="auto"/>
        <w:rPr>
          <w:b/>
          <w:bCs/>
        </w:rPr>
      </w:pPr>
      <w:r>
        <w:rPr>
          <w:b/>
          <w:bCs/>
        </w:rPr>
        <w:br w:type="page"/>
      </w:r>
    </w:p>
    <w:p w14:paraId="0C221F5B" w14:textId="77777777" w:rsidR="00090664" w:rsidRPr="0061504E" w:rsidRDefault="00090664" w:rsidP="00770622">
      <w:pPr>
        <w:pStyle w:val="TOC1"/>
        <w:jc w:val="center"/>
      </w:pPr>
      <w:r w:rsidRPr="0061504E">
        <w:lastRenderedPageBreak/>
        <w:t>Table of Contents</w:t>
      </w:r>
    </w:p>
    <w:p w14:paraId="1F90A26C" w14:textId="09192A73" w:rsidR="0061504E" w:rsidRPr="0061504E" w:rsidRDefault="0061504E">
      <w:pPr>
        <w:pStyle w:val="TOC1"/>
        <w:rPr>
          <w:rFonts w:asciiTheme="minorHAnsi" w:eastAsiaTheme="minorEastAsia" w:hAnsiTheme="minorHAnsi" w:cstheme="minorBidi"/>
          <w:b w:val="0"/>
          <w:bCs w:val="0"/>
          <w:noProof/>
          <w:kern w:val="0"/>
          <w:sz w:val="24"/>
          <w:szCs w:val="24"/>
          <w:lang w:eastAsia="en-US"/>
        </w:rPr>
      </w:pPr>
      <w:r w:rsidRPr="0061504E">
        <w:rPr>
          <w:b w:val="0"/>
          <w:bCs w:val="0"/>
          <w:sz w:val="24"/>
          <w:szCs w:val="24"/>
        </w:rPr>
        <w:fldChar w:fldCharType="begin"/>
      </w:r>
      <w:r w:rsidRPr="0061504E">
        <w:rPr>
          <w:b w:val="0"/>
          <w:bCs w:val="0"/>
          <w:sz w:val="24"/>
          <w:szCs w:val="24"/>
        </w:rPr>
        <w:instrText xml:space="preserve"> TOC \o "1-3" \h \z \u </w:instrText>
      </w:r>
      <w:r w:rsidRPr="0061504E">
        <w:rPr>
          <w:b w:val="0"/>
          <w:bCs w:val="0"/>
          <w:sz w:val="24"/>
          <w:szCs w:val="24"/>
        </w:rPr>
        <w:fldChar w:fldCharType="separate"/>
      </w:r>
      <w:hyperlink w:anchor="_Toc58842468" w:history="1">
        <w:r w:rsidRPr="0061504E">
          <w:rPr>
            <w:rStyle w:val="Hyperlink"/>
            <w:b w:val="0"/>
            <w:bCs w:val="0"/>
            <w:noProof/>
            <w:sz w:val="24"/>
            <w:szCs w:val="24"/>
          </w:rPr>
          <w:t>1</w:t>
        </w:r>
        <w:r w:rsidRPr="0061504E">
          <w:rPr>
            <w:rFonts w:asciiTheme="minorHAnsi" w:eastAsiaTheme="minorEastAsia" w:hAnsiTheme="minorHAnsi" w:cstheme="minorBidi"/>
            <w:b w:val="0"/>
            <w:bCs w:val="0"/>
            <w:noProof/>
            <w:kern w:val="0"/>
            <w:sz w:val="24"/>
            <w:szCs w:val="24"/>
            <w:lang w:eastAsia="en-US"/>
          </w:rPr>
          <w:tab/>
        </w:r>
        <w:r w:rsidRPr="0061504E">
          <w:rPr>
            <w:rStyle w:val="Hyperlink"/>
            <w:b w:val="0"/>
            <w:bCs w:val="0"/>
            <w:noProof/>
            <w:sz w:val="24"/>
            <w:szCs w:val="24"/>
          </w:rPr>
          <w:t>Median Duration of Follow-up</w:t>
        </w:r>
        <w:r w:rsidRPr="0061504E">
          <w:rPr>
            <w:b w:val="0"/>
            <w:bCs w:val="0"/>
            <w:noProof/>
            <w:webHidden/>
            <w:sz w:val="24"/>
            <w:szCs w:val="24"/>
          </w:rPr>
          <w:tab/>
        </w:r>
        <w:r w:rsidRPr="0061504E">
          <w:rPr>
            <w:b w:val="0"/>
            <w:bCs w:val="0"/>
            <w:noProof/>
            <w:webHidden/>
            <w:sz w:val="24"/>
            <w:szCs w:val="24"/>
          </w:rPr>
          <w:fldChar w:fldCharType="begin"/>
        </w:r>
        <w:r w:rsidRPr="0061504E">
          <w:rPr>
            <w:b w:val="0"/>
            <w:bCs w:val="0"/>
            <w:noProof/>
            <w:webHidden/>
            <w:sz w:val="24"/>
            <w:szCs w:val="24"/>
          </w:rPr>
          <w:instrText xml:space="preserve"> PAGEREF _Toc58842468 \h </w:instrText>
        </w:r>
        <w:r w:rsidRPr="0061504E">
          <w:rPr>
            <w:b w:val="0"/>
            <w:bCs w:val="0"/>
            <w:noProof/>
            <w:webHidden/>
            <w:sz w:val="24"/>
            <w:szCs w:val="24"/>
          </w:rPr>
        </w:r>
        <w:r w:rsidRPr="0061504E">
          <w:rPr>
            <w:b w:val="0"/>
            <w:bCs w:val="0"/>
            <w:noProof/>
            <w:webHidden/>
            <w:sz w:val="24"/>
            <w:szCs w:val="24"/>
          </w:rPr>
          <w:fldChar w:fldCharType="separate"/>
        </w:r>
        <w:r w:rsidR="009F75D2">
          <w:rPr>
            <w:b w:val="0"/>
            <w:bCs w:val="0"/>
            <w:noProof/>
            <w:webHidden/>
            <w:sz w:val="24"/>
            <w:szCs w:val="24"/>
          </w:rPr>
          <w:t>3</w:t>
        </w:r>
        <w:r w:rsidRPr="0061504E">
          <w:rPr>
            <w:b w:val="0"/>
            <w:bCs w:val="0"/>
            <w:noProof/>
            <w:webHidden/>
            <w:sz w:val="24"/>
            <w:szCs w:val="24"/>
          </w:rPr>
          <w:fldChar w:fldCharType="end"/>
        </w:r>
      </w:hyperlink>
    </w:p>
    <w:p w14:paraId="0AB3C4E2" w14:textId="5319D0A5" w:rsidR="0061504E" w:rsidRPr="0061504E" w:rsidRDefault="00245F51">
      <w:pPr>
        <w:pStyle w:val="TOC1"/>
        <w:rPr>
          <w:rFonts w:asciiTheme="minorHAnsi" w:eastAsiaTheme="minorEastAsia" w:hAnsiTheme="minorHAnsi" w:cstheme="minorBidi"/>
          <w:b w:val="0"/>
          <w:bCs w:val="0"/>
          <w:noProof/>
          <w:kern w:val="0"/>
          <w:sz w:val="24"/>
          <w:szCs w:val="24"/>
          <w:lang w:eastAsia="en-US"/>
        </w:rPr>
      </w:pPr>
      <w:hyperlink w:anchor="_Toc58842469" w:history="1">
        <w:r w:rsidR="0061504E" w:rsidRPr="0061504E">
          <w:rPr>
            <w:rStyle w:val="Hyperlink"/>
            <w:b w:val="0"/>
            <w:bCs w:val="0"/>
            <w:noProof/>
            <w:sz w:val="24"/>
            <w:szCs w:val="24"/>
          </w:rPr>
          <w:t>2</w:t>
        </w:r>
        <w:r w:rsidR="0061504E" w:rsidRPr="0061504E">
          <w:rPr>
            <w:rFonts w:asciiTheme="minorHAnsi" w:eastAsiaTheme="minorEastAsia" w:hAnsiTheme="minorHAnsi" w:cstheme="minorBidi"/>
            <w:b w:val="0"/>
            <w:bCs w:val="0"/>
            <w:noProof/>
            <w:kern w:val="0"/>
            <w:sz w:val="24"/>
            <w:szCs w:val="24"/>
            <w:lang w:eastAsia="en-US"/>
          </w:rPr>
          <w:tab/>
        </w:r>
        <w:r w:rsidR="0061504E" w:rsidRPr="0061504E">
          <w:rPr>
            <w:rStyle w:val="Hyperlink"/>
            <w:b w:val="0"/>
            <w:bCs w:val="0"/>
            <w:noProof/>
            <w:sz w:val="24"/>
            <w:szCs w:val="24"/>
          </w:rPr>
          <w:t>Solicited Adverse Reaction Definition for Lymphadenopathy</w:t>
        </w:r>
        <w:r w:rsidR="0061504E" w:rsidRPr="0061504E">
          <w:rPr>
            <w:b w:val="0"/>
            <w:bCs w:val="0"/>
            <w:noProof/>
            <w:webHidden/>
            <w:sz w:val="24"/>
            <w:szCs w:val="24"/>
          </w:rPr>
          <w:tab/>
        </w:r>
        <w:r w:rsidR="0061504E" w:rsidRPr="0061504E">
          <w:rPr>
            <w:b w:val="0"/>
            <w:bCs w:val="0"/>
            <w:noProof/>
            <w:webHidden/>
            <w:sz w:val="24"/>
            <w:szCs w:val="24"/>
          </w:rPr>
          <w:fldChar w:fldCharType="begin"/>
        </w:r>
        <w:r w:rsidR="0061504E" w:rsidRPr="0061504E">
          <w:rPr>
            <w:b w:val="0"/>
            <w:bCs w:val="0"/>
            <w:noProof/>
            <w:webHidden/>
            <w:sz w:val="24"/>
            <w:szCs w:val="24"/>
          </w:rPr>
          <w:instrText xml:space="preserve"> PAGEREF _Toc58842469 \h </w:instrText>
        </w:r>
        <w:r w:rsidR="0061504E" w:rsidRPr="0061504E">
          <w:rPr>
            <w:b w:val="0"/>
            <w:bCs w:val="0"/>
            <w:noProof/>
            <w:webHidden/>
            <w:sz w:val="24"/>
            <w:szCs w:val="24"/>
          </w:rPr>
        </w:r>
        <w:r w:rsidR="0061504E" w:rsidRPr="0061504E">
          <w:rPr>
            <w:b w:val="0"/>
            <w:bCs w:val="0"/>
            <w:noProof/>
            <w:webHidden/>
            <w:sz w:val="24"/>
            <w:szCs w:val="24"/>
          </w:rPr>
          <w:fldChar w:fldCharType="separate"/>
        </w:r>
        <w:r w:rsidR="009F75D2">
          <w:rPr>
            <w:b w:val="0"/>
            <w:bCs w:val="0"/>
            <w:noProof/>
            <w:webHidden/>
            <w:sz w:val="24"/>
            <w:szCs w:val="24"/>
          </w:rPr>
          <w:t>3</w:t>
        </w:r>
        <w:r w:rsidR="0061504E" w:rsidRPr="0061504E">
          <w:rPr>
            <w:b w:val="0"/>
            <w:bCs w:val="0"/>
            <w:noProof/>
            <w:webHidden/>
            <w:sz w:val="24"/>
            <w:szCs w:val="24"/>
          </w:rPr>
          <w:fldChar w:fldCharType="end"/>
        </w:r>
      </w:hyperlink>
    </w:p>
    <w:p w14:paraId="2D94B5B2" w14:textId="5BAE358B" w:rsidR="0061504E" w:rsidRPr="0061504E" w:rsidRDefault="00245F51" w:rsidP="00842DB7">
      <w:pPr>
        <w:pStyle w:val="TOC1"/>
        <w:ind w:left="440" w:hanging="440"/>
        <w:rPr>
          <w:rFonts w:asciiTheme="minorHAnsi" w:eastAsiaTheme="minorEastAsia" w:hAnsiTheme="minorHAnsi" w:cstheme="minorBidi"/>
          <w:b w:val="0"/>
          <w:bCs w:val="0"/>
          <w:noProof/>
          <w:kern w:val="0"/>
          <w:sz w:val="24"/>
          <w:szCs w:val="24"/>
          <w:lang w:eastAsia="en-US"/>
        </w:rPr>
      </w:pPr>
      <w:hyperlink w:anchor="_Toc58842470" w:history="1">
        <w:r w:rsidR="0061504E" w:rsidRPr="0061504E">
          <w:rPr>
            <w:rStyle w:val="Hyperlink"/>
            <w:b w:val="0"/>
            <w:bCs w:val="0"/>
            <w:noProof/>
            <w:sz w:val="24"/>
            <w:szCs w:val="24"/>
          </w:rPr>
          <w:t>3</w:t>
        </w:r>
        <w:r w:rsidR="0061504E" w:rsidRPr="0061504E">
          <w:rPr>
            <w:rFonts w:asciiTheme="minorHAnsi" w:eastAsiaTheme="minorEastAsia" w:hAnsiTheme="minorHAnsi" w:cstheme="minorBidi"/>
            <w:b w:val="0"/>
            <w:bCs w:val="0"/>
            <w:noProof/>
            <w:kern w:val="0"/>
            <w:sz w:val="24"/>
            <w:szCs w:val="24"/>
            <w:lang w:eastAsia="en-US"/>
          </w:rPr>
          <w:tab/>
        </w:r>
        <w:r w:rsidR="0061504E" w:rsidRPr="0061504E">
          <w:rPr>
            <w:rStyle w:val="Hyperlink"/>
            <w:b w:val="0"/>
            <w:bCs w:val="0"/>
            <w:noProof/>
            <w:sz w:val="24"/>
            <w:szCs w:val="24"/>
          </w:rPr>
          <w:t>Kaplan-Meier Estimates of Time to First Occurrence of COVID-19 Starting After Randomization, mITT – Interim Analysis</w:t>
        </w:r>
        <w:r w:rsidR="0061504E" w:rsidRPr="0061504E">
          <w:rPr>
            <w:b w:val="0"/>
            <w:bCs w:val="0"/>
            <w:noProof/>
            <w:webHidden/>
            <w:sz w:val="24"/>
            <w:szCs w:val="24"/>
          </w:rPr>
          <w:tab/>
        </w:r>
        <w:r w:rsidR="0061504E" w:rsidRPr="0061504E">
          <w:rPr>
            <w:b w:val="0"/>
            <w:bCs w:val="0"/>
            <w:noProof/>
            <w:webHidden/>
            <w:sz w:val="24"/>
            <w:szCs w:val="24"/>
          </w:rPr>
          <w:fldChar w:fldCharType="begin"/>
        </w:r>
        <w:r w:rsidR="0061504E" w:rsidRPr="0061504E">
          <w:rPr>
            <w:b w:val="0"/>
            <w:bCs w:val="0"/>
            <w:noProof/>
            <w:webHidden/>
            <w:sz w:val="24"/>
            <w:szCs w:val="24"/>
          </w:rPr>
          <w:instrText xml:space="preserve"> PAGEREF _Toc58842470 \h </w:instrText>
        </w:r>
        <w:r w:rsidR="0061504E" w:rsidRPr="0061504E">
          <w:rPr>
            <w:b w:val="0"/>
            <w:bCs w:val="0"/>
            <w:noProof/>
            <w:webHidden/>
            <w:sz w:val="24"/>
            <w:szCs w:val="24"/>
          </w:rPr>
        </w:r>
        <w:r w:rsidR="0061504E" w:rsidRPr="0061504E">
          <w:rPr>
            <w:b w:val="0"/>
            <w:bCs w:val="0"/>
            <w:noProof/>
            <w:webHidden/>
            <w:sz w:val="24"/>
            <w:szCs w:val="24"/>
          </w:rPr>
          <w:fldChar w:fldCharType="separate"/>
        </w:r>
        <w:r w:rsidR="009F75D2">
          <w:rPr>
            <w:b w:val="0"/>
            <w:bCs w:val="0"/>
            <w:noProof/>
            <w:webHidden/>
            <w:sz w:val="24"/>
            <w:szCs w:val="24"/>
          </w:rPr>
          <w:t>4</w:t>
        </w:r>
        <w:r w:rsidR="0061504E" w:rsidRPr="0061504E">
          <w:rPr>
            <w:b w:val="0"/>
            <w:bCs w:val="0"/>
            <w:noProof/>
            <w:webHidden/>
            <w:sz w:val="24"/>
            <w:szCs w:val="24"/>
          </w:rPr>
          <w:fldChar w:fldCharType="end"/>
        </w:r>
      </w:hyperlink>
    </w:p>
    <w:p w14:paraId="3D0B2BDB" w14:textId="47F00B7B" w:rsidR="0061504E" w:rsidRPr="0061504E" w:rsidRDefault="00245F51">
      <w:pPr>
        <w:pStyle w:val="TOC1"/>
        <w:rPr>
          <w:rFonts w:asciiTheme="minorHAnsi" w:eastAsiaTheme="minorEastAsia" w:hAnsiTheme="minorHAnsi" w:cstheme="minorBidi"/>
          <w:b w:val="0"/>
          <w:bCs w:val="0"/>
          <w:noProof/>
          <w:kern w:val="0"/>
          <w:sz w:val="24"/>
          <w:szCs w:val="24"/>
          <w:lang w:eastAsia="en-US"/>
        </w:rPr>
      </w:pPr>
      <w:hyperlink w:anchor="_Toc58842471" w:history="1">
        <w:r w:rsidR="0061504E" w:rsidRPr="0061504E">
          <w:rPr>
            <w:rStyle w:val="Hyperlink"/>
            <w:b w:val="0"/>
            <w:bCs w:val="0"/>
            <w:noProof/>
            <w:sz w:val="24"/>
            <w:szCs w:val="24"/>
          </w:rPr>
          <w:t>4</w:t>
        </w:r>
        <w:r w:rsidR="0061504E" w:rsidRPr="0061504E">
          <w:rPr>
            <w:rFonts w:asciiTheme="minorHAnsi" w:eastAsiaTheme="minorEastAsia" w:hAnsiTheme="minorHAnsi" w:cstheme="minorBidi"/>
            <w:b w:val="0"/>
            <w:bCs w:val="0"/>
            <w:noProof/>
            <w:kern w:val="0"/>
            <w:sz w:val="24"/>
            <w:szCs w:val="24"/>
            <w:lang w:eastAsia="en-US"/>
          </w:rPr>
          <w:tab/>
        </w:r>
        <w:r w:rsidR="0061504E" w:rsidRPr="0061504E">
          <w:rPr>
            <w:rStyle w:val="Hyperlink"/>
            <w:b w:val="0"/>
            <w:bCs w:val="0"/>
            <w:noProof/>
            <w:sz w:val="24"/>
            <w:szCs w:val="24"/>
          </w:rPr>
          <w:t>Data to Support Efficacy Against Asymptomatic Infection</w:t>
        </w:r>
        <w:r w:rsidR="0061504E" w:rsidRPr="0061504E">
          <w:rPr>
            <w:b w:val="0"/>
            <w:bCs w:val="0"/>
            <w:noProof/>
            <w:webHidden/>
            <w:sz w:val="24"/>
            <w:szCs w:val="24"/>
          </w:rPr>
          <w:tab/>
        </w:r>
        <w:r w:rsidR="0061504E" w:rsidRPr="0061504E">
          <w:rPr>
            <w:b w:val="0"/>
            <w:bCs w:val="0"/>
            <w:noProof/>
            <w:webHidden/>
            <w:sz w:val="24"/>
            <w:szCs w:val="24"/>
          </w:rPr>
          <w:fldChar w:fldCharType="begin"/>
        </w:r>
        <w:r w:rsidR="0061504E" w:rsidRPr="0061504E">
          <w:rPr>
            <w:b w:val="0"/>
            <w:bCs w:val="0"/>
            <w:noProof/>
            <w:webHidden/>
            <w:sz w:val="24"/>
            <w:szCs w:val="24"/>
          </w:rPr>
          <w:instrText xml:space="preserve"> PAGEREF _Toc58842471 \h </w:instrText>
        </w:r>
        <w:r w:rsidR="0061504E" w:rsidRPr="0061504E">
          <w:rPr>
            <w:b w:val="0"/>
            <w:bCs w:val="0"/>
            <w:noProof/>
            <w:webHidden/>
            <w:sz w:val="24"/>
            <w:szCs w:val="24"/>
          </w:rPr>
        </w:r>
        <w:r w:rsidR="0061504E" w:rsidRPr="0061504E">
          <w:rPr>
            <w:b w:val="0"/>
            <w:bCs w:val="0"/>
            <w:noProof/>
            <w:webHidden/>
            <w:sz w:val="24"/>
            <w:szCs w:val="24"/>
          </w:rPr>
          <w:fldChar w:fldCharType="separate"/>
        </w:r>
        <w:r w:rsidR="009F75D2">
          <w:rPr>
            <w:b w:val="0"/>
            <w:bCs w:val="0"/>
            <w:noProof/>
            <w:webHidden/>
            <w:sz w:val="24"/>
            <w:szCs w:val="24"/>
          </w:rPr>
          <w:t>6</w:t>
        </w:r>
        <w:r w:rsidR="0061504E" w:rsidRPr="0061504E">
          <w:rPr>
            <w:b w:val="0"/>
            <w:bCs w:val="0"/>
            <w:noProof/>
            <w:webHidden/>
            <w:sz w:val="24"/>
            <w:szCs w:val="24"/>
          </w:rPr>
          <w:fldChar w:fldCharType="end"/>
        </w:r>
      </w:hyperlink>
    </w:p>
    <w:p w14:paraId="6493015A" w14:textId="77777777" w:rsidR="000F46D4" w:rsidRDefault="0061504E" w:rsidP="0061504E">
      <w:pPr>
        <w:pStyle w:val="CTDText"/>
      </w:pPr>
      <w:r w:rsidRPr="0061504E">
        <w:rPr>
          <w:szCs w:val="24"/>
        </w:rPr>
        <w:fldChar w:fldCharType="end"/>
      </w:r>
      <w:r w:rsidR="000F46D4">
        <w:br w:type="page"/>
      </w:r>
    </w:p>
    <w:p w14:paraId="43B1BC20" w14:textId="650E8836" w:rsidR="000F46D4" w:rsidRDefault="000F46D4" w:rsidP="00770622">
      <w:pPr>
        <w:pStyle w:val="Heading1"/>
        <w:tabs>
          <w:tab w:val="clear" w:pos="482"/>
        </w:tabs>
        <w:ind w:left="720" w:hanging="720"/>
      </w:pPr>
      <w:bookmarkStart w:id="0" w:name="_Toc58842349"/>
      <w:bookmarkStart w:id="1" w:name="_Toc58842468"/>
      <w:r>
        <w:lastRenderedPageBreak/>
        <w:t>Median Duration of Follow-up</w:t>
      </w:r>
      <w:bookmarkEnd w:id="0"/>
      <w:bookmarkEnd w:id="1"/>
    </w:p>
    <w:p w14:paraId="13935194" w14:textId="67E85A5B" w:rsidR="000F46D4" w:rsidRPr="00CE31C2" w:rsidRDefault="000F46D4" w:rsidP="00770622">
      <w:r w:rsidRPr="00CE31C2">
        <w:t xml:space="preserve">This briefing document provides Phase 3 safety data from 2 different cut-offs: </w:t>
      </w:r>
    </w:p>
    <w:p w14:paraId="15AD5510" w14:textId="253F8663" w:rsidR="000F46D4" w:rsidRPr="00CE31C2" w:rsidRDefault="000F46D4" w:rsidP="00770622">
      <w:pPr>
        <w:pStyle w:val="CTDText"/>
        <w:numPr>
          <w:ilvl w:val="0"/>
          <w:numId w:val="13"/>
        </w:numPr>
        <w:spacing w:line="300" w:lineRule="auto"/>
        <w:jc w:val="left"/>
      </w:pPr>
      <w:r w:rsidRPr="00CE31C2">
        <w:t>The initial interim analysis</w:t>
      </w:r>
      <w:r>
        <w:t xml:space="preserve"> </w:t>
      </w:r>
      <w:r w:rsidRPr="00CE31C2">
        <w:t xml:space="preserve">(“Interim Dataset”), </w:t>
      </w:r>
      <w:r>
        <w:rPr>
          <w:rStyle w:val="normaltextrun"/>
          <w:rFonts w:eastAsiaTheme="majorEastAsia"/>
          <w:color w:val="000000"/>
          <w:shd w:val="clear" w:color="auto" w:fill="FFFFFF"/>
        </w:rPr>
        <w:t xml:space="preserve">with a data snapshot on November 11, 2020. This data represents a </w:t>
      </w:r>
      <w:r w:rsidR="003875D9">
        <w:rPr>
          <w:rStyle w:val="normaltextrun"/>
          <w:rFonts w:eastAsiaTheme="majorEastAsia"/>
          <w:color w:val="000000"/>
          <w:shd w:val="clear" w:color="auto" w:fill="FFFFFF"/>
        </w:rPr>
        <w:t>7-week</w:t>
      </w:r>
      <w:r>
        <w:rPr>
          <w:rStyle w:val="normaltextrun"/>
          <w:rFonts w:eastAsiaTheme="majorEastAsia"/>
          <w:color w:val="000000"/>
          <w:shd w:val="clear" w:color="auto" w:fill="FFFFFF"/>
        </w:rPr>
        <w:t xml:space="preserve"> median follow-up for safety.</w:t>
      </w:r>
    </w:p>
    <w:p w14:paraId="35A5066D" w14:textId="2B7062A3" w:rsidR="000F46D4" w:rsidRPr="00CE31C2" w:rsidRDefault="000F46D4" w:rsidP="00770622">
      <w:pPr>
        <w:pStyle w:val="CTDText"/>
        <w:numPr>
          <w:ilvl w:val="0"/>
          <w:numId w:val="13"/>
        </w:numPr>
        <w:spacing w:line="300" w:lineRule="auto"/>
        <w:jc w:val="left"/>
      </w:pPr>
      <w:r>
        <w:t xml:space="preserve">The </w:t>
      </w:r>
      <w:r w:rsidRPr="00CE31C2">
        <w:t>Primary Dataset</w:t>
      </w:r>
      <w:r>
        <w:t xml:space="preserve">, with a </w:t>
      </w:r>
      <w:r>
        <w:rPr>
          <w:rStyle w:val="normaltextrun"/>
          <w:rFonts w:eastAsiaTheme="majorEastAsia"/>
          <w:color w:val="000000"/>
          <w:shd w:val="clear" w:color="auto" w:fill="FFFFFF"/>
        </w:rPr>
        <w:t xml:space="preserve">data snapshot </w:t>
      </w:r>
      <w:r w:rsidRPr="7877B8A0">
        <w:rPr>
          <w:rStyle w:val="normaltextrun"/>
          <w:rFonts w:eastAsiaTheme="majorEastAsia"/>
          <w:color w:val="000000"/>
          <w:shd w:val="clear" w:color="auto" w:fill="FFFFFF"/>
        </w:rPr>
        <w:t>on November</w:t>
      </w:r>
      <w:r>
        <w:rPr>
          <w:rStyle w:val="normaltextrun"/>
          <w:rFonts w:eastAsiaTheme="majorEastAsia"/>
          <w:color w:val="000000"/>
          <w:shd w:val="clear" w:color="auto" w:fill="FFFFFF"/>
        </w:rPr>
        <w:t xml:space="preserve"> 25,</w:t>
      </w:r>
      <w:r w:rsidRPr="7877B8A0">
        <w:rPr>
          <w:rStyle w:val="normaltextrun"/>
          <w:rFonts w:eastAsiaTheme="majorEastAsia"/>
          <w:color w:val="000000"/>
          <w:shd w:val="clear" w:color="auto" w:fill="FFFFFF"/>
        </w:rPr>
        <w:t> 2020</w:t>
      </w:r>
      <w:r w:rsidRPr="00CE31C2">
        <w:t xml:space="preserve">. This dataset </w:t>
      </w:r>
      <w:r>
        <w:t xml:space="preserve">was described in the ModernaTX, Inc. briefing document as representing a median 8-week follow-up for safety. </w:t>
      </w:r>
      <w:r w:rsidRPr="000F46D4">
        <w:rPr>
          <w:b/>
          <w:bCs/>
        </w:rPr>
        <w:t>Ultimately, th</w:t>
      </w:r>
      <w:r w:rsidR="217937A4" w:rsidRPr="000F46D4">
        <w:rPr>
          <w:b/>
          <w:bCs/>
        </w:rPr>
        <w:t>ese</w:t>
      </w:r>
      <w:r w:rsidRPr="000F46D4">
        <w:rPr>
          <w:b/>
          <w:bCs/>
        </w:rPr>
        <w:t xml:space="preserve"> data represent 9-weeks of median follow-up</w:t>
      </w:r>
      <w:r w:rsidR="00A86387">
        <w:rPr>
          <w:b/>
          <w:bCs/>
        </w:rPr>
        <w:t>, since the median follow-up time is 63 days</w:t>
      </w:r>
      <w:r w:rsidRPr="000F46D4">
        <w:rPr>
          <w:b/>
          <w:bCs/>
        </w:rPr>
        <w:t>.</w:t>
      </w:r>
    </w:p>
    <w:p w14:paraId="1F8FD34B" w14:textId="3AE3BECE" w:rsidR="009963B8" w:rsidRPr="00AF5D5D" w:rsidRDefault="000F46D4" w:rsidP="00770622">
      <w:pPr>
        <w:pStyle w:val="Heading1"/>
        <w:tabs>
          <w:tab w:val="clear" w:pos="482"/>
        </w:tabs>
        <w:ind w:left="720" w:hanging="720"/>
      </w:pPr>
      <w:bookmarkStart w:id="2" w:name="_Toc58842350"/>
      <w:bookmarkStart w:id="3" w:name="_Toc58842469"/>
      <w:r w:rsidRPr="00AF5D5D">
        <w:t>Solicited Adverse Reaction Definition for Lymphadenopathy</w:t>
      </w:r>
      <w:bookmarkEnd w:id="2"/>
      <w:bookmarkEnd w:id="3"/>
    </w:p>
    <w:p w14:paraId="089E3CE2" w14:textId="4670C8AE" w:rsidR="00BC065E" w:rsidRPr="00BC065E" w:rsidRDefault="00BC065E" w:rsidP="00770622">
      <w:pPr>
        <w:pStyle w:val="CTDText"/>
        <w:spacing w:line="300" w:lineRule="auto"/>
        <w:jc w:val="left"/>
        <w:rPr>
          <w:lang w:val="en-US"/>
        </w:rPr>
      </w:pPr>
      <w:r>
        <w:rPr>
          <w:lang w:val="en-US"/>
        </w:rPr>
        <w:t>Adverse reactions for a</w:t>
      </w:r>
      <w:r w:rsidRPr="00BC065E">
        <w:rPr>
          <w:lang w:val="en-US"/>
        </w:rPr>
        <w:t>xillary swelling and tenderness of the vaccination arm</w:t>
      </w:r>
      <w:r>
        <w:rPr>
          <w:lang w:val="en-US"/>
        </w:rPr>
        <w:t xml:space="preserve"> were solicited from participants for 7 days post each injection. This SAR was incorrectly described as</w:t>
      </w:r>
      <w:r w:rsidRPr="00BC065E">
        <w:rPr>
          <w:lang w:val="en-US"/>
        </w:rPr>
        <w:t xml:space="preserve"> lymphadenopathy</w:t>
      </w:r>
      <w:r>
        <w:rPr>
          <w:lang w:val="en-US"/>
        </w:rPr>
        <w:t xml:space="preserve"> in 3 locations in our briefing document. A</w:t>
      </w:r>
      <w:r w:rsidRPr="00BC065E">
        <w:rPr>
          <w:lang w:val="en-US"/>
        </w:rPr>
        <w:t xml:space="preserve"> more </w:t>
      </w:r>
      <w:r w:rsidR="00E32C1F">
        <w:rPr>
          <w:lang w:val="en-US"/>
        </w:rPr>
        <w:t>specific</w:t>
      </w:r>
      <w:r w:rsidRPr="00BC065E">
        <w:rPr>
          <w:lang w:val="en-US"/>
        </w:rPr>
        <w:t xml:space="preserve"> and easily understood term for </w:t>
      </w:r>
      <w:r>
        <w:rPr>
          <w:lang w:val="en-US"/>
        </w:rPr>
        <w:t>this solicited adverse reaction is ‘axillary swelling and tenderness of the vaccination arm’</w:t>
      </w:r>
      <w:r w:rsidRPr="00BC065E">
        <w:rPr>
          <w:lang w:val="en-US"/>
        </w:rPr>
        <w:t xml:space="preserve"> as per the footnote in Table 21. The current designation of </w:t>
      </w:r>
      <w:r w:rsidRPr="65EFBC6B">
        <w:rPr>
          <w:lang w:val="en-US"/>
        </w:rPr>
        <w:t>lymphadenopathy</w:t>
      </w:r>
      <w:r w:rsidRPr="00BC065E">
        <w:rPr>
          <w:lang w:val="en-US"/>
        </w:rPr>
        <w:t xml:space="preserve"> may be mis-read as a generalized adverse event</w:t>
      </w:r>
      <w:r>
        <w:rPr>
          <w:lang w:val="en-US"/>
        </w:rPr>
        <w:t xml:space="preserve">, which would </w:t>
      </w:r>
      <w:r w:rsidR="0008110D">
        <w:rPr>
          <w:lang w:val="en-US"/>
        </w:rPr>
        <w:t xml:space="preserve">not </w:t>
      </w:r>
      <w:r>
        <w:rPr>
          <w:lang w:val="en-US"/>
        </w:rPr>
        <w:t xml:space="preserve">be </w:t>
      </w:r>
      <w:r w:rsidR="0008110D">
        <w:rPr>
          <w:lang w:val="en-US"/>
        </w:rPr>
        <w:t xml:space="preserve">consistent with the reactions actually solicited in the </w:t>
      </w:r>
      <w:proofErr w:type="spellStart"/>
      <w:r w:rsidR="006606FA">
        <w:rPr>
          <w:lang w:val="en-US"/>
        </w:rPr>
        <w:t>eD</w:t>
      </w:r>
      <w:r w:rsidR="00BC781D">
        <w:rPr>
          <w:lang w:val="en-US"/>
        </w:rPr>
        <w:t>iary</w:t>
      </w:r>
      <w:proofErr w:type="spellEnd"/>
      <w:r>
        <w:rPr>
          <w:lang w:val="en-US"/>
        </w:rPr>
        <w:t>. The following sentences should be corrected:</w:t>
      </w:r>
    </w:p>
    <w:p w14:paraId="3992563C" w14:textId="5E39064C" w:rsidR="00BC065E" w:rsidRDefault="00BC065E" w:rsidP="00770622">
      <w:pPr>
        <w:pStyle w:val="CTDText"/>
        <w:spacing w:line="300" w:lineRule="auto"/>
        <w:ind w:left="450"/>
        <w:jc w:val="left"/>
        <w:rPr>
          <w:lang w:val="en-US"/>
        </w:rPr>
      </w:pPr>
      <w:r>
        <w:rPr>
          <w:lang w:val="en-US"/>
        </w:rPr>
        <w:t>Pg 12:</w:t>
      </w:r>
      <w:r w:rsidRPr="00BC065E">
        <w:t xml:space="preserve"> </w:t>
      </w:r>
      <w:r w:rsidRPr="00CB59C2">
        <w:t xml:space="preserve">More solicited local adverse reactions (ARs) (injection site pain, erythema, and swelling, and </w:t>
      </w:r>
      <w:r w:rsidRPr="00BC065E">
        <w:rPr>
          <w:i/>
          <w:iCs/>
        </w:rPr>
        <w:t>axillary swelling and tenderness of the vaccination arm</w:t>
      </w:r>
      <w:r w:rsidRPr="00CB59C2">
        <w:t xml:space="preserve">) were reported by participants in the mRNA-1273 group than placebo, with a higher occurrence after the second </w:t>
      </w:r>
      <w:r w:rsidRPr="00BC065E">
        <w:t>injection (Table 3 and Table 4).</w:t>
      </w:r>
    </w:p>
    <w:p w14:paraId="6DE24B4A" w14:textId="77777777" w:rsidR="00BC065E" w:rsidRDefault="00BC065E" w:rsidP="00770622">
      <w:pPr>
        <w:pStyle w:val="CTDText"/>
        <w:spacing w:line="300" w:lineRule="auto"/>
        <w:ind w:left="450"/>
        <w:jc w:val="left"/>
        <w:rPr>
          <w:lang w:val="en-US"/>
        </w:rPr>
      </w:pPr>
      <w:r>
        <w:rPr>
          <w:lang w:val="en-US"/>
        </w:rPr>
        <w:t xml:space="preserve">Pg 39: </w:t>
      </w:r>
      <w:r w:rsidRPr="00C53CA4">
        <w:t>All participants were also assessed for safety endpoints, and were given an electronic diary (</w:t>
      </w:r>
      <w:proofErr w:type="spellStart"/>
      <w:r w:rsidRPr="00C53CA4">
        <w:t>eDiary</w:t>
      </w:r>
      <w:proofErr w:type="spellEnd"/>
      <w:r w:rsidRPr="00C53CA4">
        <w:t xml:space="preserve">) to report a pre-specified list solicited local (injection site pain, erythema and swelling, and </w:t>
      </w:r>
      <w:r w:rsidRPr="00BC065E">
        <w:rPr>
          <w:i/>
          <w:iCs/>
        </w:rPr>
        <w:t>axillary swelling and tenderness of the vaccination arm</w:t>
      </w:r>
      <w:r w:rsidRPr="00C53CA4">
        <w:t xml:space="preserve">) and systemic (headache, fatigue, myalgia, arthralgia, nausea/vomiting, chills, and fever) ARs for 7 days after each injection of IP and to prompt an unscheduled clinic visit for clinical evaluation and NP swab sample if they experienced any symptoms of </w:t>
      </w:r>
      <w:r>
        <w:t>COVID19</w:t>
      </w:r>
      <w:r w:rsidRPr="00C53CA4">
        <w:t>.</w:t>
      </w:r>
    </w:p>
    <w:p w14:paraId="7DFB7BE7" w14:textId="77777777" w:rsidR="00A60553" w:rsidRDefault="00BC065E" w:rsidP="00770622">
      <w:pPr>
        <w:pStyle w:val="CTDText"/>
        <w:spacing w:line="300" w:lineRule="auto"/>
        <w:ind w:left="450"/>
        <w:jc w:val="left"/>
      </w:pPr>
      <w:r>
        <w:rPr>
          <w:lang w:val="en-US"/>
        </w:rPr>
        <w:t xml:space="preserve">Pg 58: </w:t>
      </w:r>
      <w:r w:rsidRPr="004E0F97">
        <w:t xml:space="preserve">The </w:t>
      </w:r>
      <w:r>
        <w:t xml:space="preserve">local </w:t>
      </w:r>
      <w:r w:rsidRPr="004E0F97">
        <w:t>solicited ARs assessed included pain, erythema, swelling</w:t>
      </w:r>
      <w:r>
        <w:t>,</w:t>
      </w:r>
      <w:r w:rsidRPr="004E0F97">
        <w:t xml:space="preserve"> and </w:t>
      </w:r>
      <w:r w:rsidRPr="00BC065E">
        <w:rPr>
          <w:i/>
          <w:iCs/>
        </w:rPr>
        <w:t>axillary swelling and tenderness of the vaccination arm</w:t>
      </w:r>
      <w:r>
        <w:t xml:space="preserve"> and the general solicited ARs included</w:t>
      </w:r>
      <w:r w:rsidRPr="004E0F97">
        <w:t xml:space="preserve"> fever, headache, fatigue, myalgia, arthralgia, chills, and nausea/vomiting.</w:t>
      </w:r>
    </w:p>
    <w:p w14:paraId="33CD5956" w14:textId="77777777" w:rsidR="00D722A3" w:rsidRDefault="00D722A3" w:rsidP="00770622">
      <w:pPr>
        <w:pStyle w:val="Heading1"/>
        <w:tabs>
          <w:tab w:val="clear" w:pos="482"/>
        </w:tabs>
        <w:ind w:left="720" w:hanging="720"/>
      </w:pPr>
      <w:bookmarkStart w:id="4" w:name="_Toc58842351"/>
      <w:bookmarkStart w:id="5" w:name="_Toc58842470"/>
      <w:r w:rsidRPr="00EE0C04">
        <w:lastRenderedPageBreak/>
        <w:t>Kaplan-Meier Estimates of Time to First Occurrence of COVID-19 Starting After Randomization</w:t>
      </w:r>
      <w:r>
        <w:t xml:space="preserve">, </w:t>
      </w:r>
      <w:proofErr w:type="spellStart"/>
      <w:r>
        <w:t>mITT</w:t>
      </w:r>
      <w:proofErr w:type="spellEnd"/>
      <w:r>
        <w:t xml:space="preserve"> – Interim Analysis</w:t>
      </w:r>
      <w:bookmarkEnd w:id="4"/>
      <w:bookmarkEnd w:id="5"/>
    </w:p>
    <w:p w14:paraId="54A91E74" w14:textId="4210443E" w:rsidR="00D722A3" w:rsidRDefault="00D722A3" w:rsidP="00770622">
      <w:pPr>
        <w:pStyle w:val="CTDText"/>
        <w:spacing w:line="300" w:lineRule="auto"/>
        <w:jc w:val="left"/>
      </w:pPr>
      <w:r w:rsidRPr="00B5450E">
        <w:rPr>
          <w:lang w:val="en-US"/>
        </w:rPr>
        <w:t xml:space="preserve">The Kaplan-Meier curve for the cases which have occurred since randomization </w:t>
      </w:r>
      <w:r>
        <w:rPr>
          <w:lang w:val="en-US"/>
        </w:rPr>
        <w:t>is</w:t>
      </w:r>
      <w:r w:rsidRPr="00B5450E">
        <w:rPr>
          <w:lang w:val="en-US"/>
        </w:rPr>
        <w:t xml:space="preserve"> shown </w:t>
      </w:r>
      <w:r>
        <w:rPr>
          <w:lang w:val="en-US"/>
        </w:rPr>
        <w:t>in the Figure below</w:t>
      </w:r>
      <w:r w:rsidR="0039504A">
        <w:rPr>
          <w:lang w:val="en-US"/>
        </w:rPr>
        <w:t xml:space="preserve"> (</w:t>
      </w:r>
      <w:r w:rsidR="0039504A" w:rsidRPr="0039504A">
        <w:rPr>
          <w:color w:val="0000FF"/>
          <w:lang w:val="en-US"/>
        </w:rPr>
        <w:fldChar w:fldCharType="begin"/>
      </w:r>
      <w:r w:rsidR="0039504A" w:rsidRPr="0039504A">
        <w:rPr>
          <w:color w:val="0000FF"/>
          <w:lang w:val="en-US"/>
        </w:rPr>
        <w:instrText xml:space="preserve"> REF _Ref57024596 \h </w:instrText>
      </w:r>
      <w:r w:rsidR="0039504A">
        <w:rPr>
          <w:color w:val="0000FF"/>
          <w:lang w:val="en-US"/>
        </w:rPr>
        <w:instrText xml:space="preserve"> \* MERGEFORMAT </w:instrText>
      </w:r>
      <w:r w:rsidR="0039504A" w:rsidRPr="0039504A">
        <w:rPr>
          <w:color w:val="0000FF"/>
          <w:lang w:val="en-US"/>
        </w:rPr>
      </w:r>
      <w:r w:rsidR="0039504A" w:rsidRPr="0039504A">
        <w:rPr>
          <w:color w:val="0000FF"/>
          <w:lang w:val="en-US"/>
        </w:rPr>
        <w:fldChar w:fldCharType="separate"/>
      </w:r>
      <w:r w:rsidR="00770622" w:rsidRPr="00770622">
        <w:rPr>
          <w:color w:val="0000FF"/>
        </w:rPr>
        <w:t xml:space="preserve">Figure </w:t>
      </w:r>
      <w:r w:rsidR="00770622" w:rsidRPr="00770622">
        <w:rPr>
          <w:noProof/>
          <w:color w:val="0000FF"/>
        </w:rPr>
        <w:t>1</w:t>
      </w:r>
      <w:r w:rsidR="0039504A" w:rsidRPr="0039504A">
        <w:rPr>
          <w:color w:val="0000FF"/>
          <w:lang w:val="en-US"/>
        </w:rPr>
        <w:fldChar w:fldCharType="end"/>
      </w:r>
      <w:r w:rsidR="0039504A">
        <w:rPr>
          <w:lang w:val="en-US"/>
        </w:rPr>
        <w:t>)</w:t>
      </w:r>
      <w:r>
        <w:rPr>
          <w:lang w:val="en-US"/>
        </w:rPr>
        <w:t xml:space="preserve">. </w:t>
      </w:r>
      <w:r w:rsidR="00222EB1">
        <w:rPr>
          <w:lang w:val="en-US"/>
        </w:rPr>
        <w:t>The Cumulative Distribution Curves</w:t>
      </w:r>
      <w:r w:rsidR="0049384D">
        <w:rPr>
          <w:lang w:val="en-US"/>
        </w:rPr>
        <w:t xml:space="preserve"> begin to separate</w:t>
      </w:r>
      <w:r>
        <w:rPr>
          <w:lang w:val="en-US"/>
        </w:rPr>
        <w:t xml:space="preserve"> between the mRNA-1273 and placebo groups as early as 14 days post-dose 1</w:t>
      </w:r>
      <w:r w:rsidRPr="00B5450E">
        <w:rPr>
          <w:lang w:val="en-US"/>
        </w:rPr>
        <w:t>, supporting the secondary efficacy analysis for efficacy after the 1</w:t>
      </w:r>
      <w:r w:rsidRPr="00B5450E">
        <w:rPr>
          <w:vertAlign w:val="superscript"/>
          <w:lang w:val="en-US"/>
        </w:rPr>
        <w:t>st</w:t>
      </w:r>
      <w:r w:rsidRPr="00B5450E">
        <w:rPr>
          <w:lang w:val="en-US"/>
        </w:rPr>
        <w:t xml:space="preserve"> vaccination.</w:t>
      </w:r>
    </w:p>
    <w:p w14:paraId="02009463" w14:textId="31EFB96B" w:rsidR="00D722A3" w:rsidRDefault="00D722A3" w:rsidP="00BC065E">
      <w:pPr>
        <w:pStyle w:val="CTDText"/>
        <w:ind w:left="450"/>
        <w:sectPr w:rsidR="00D722A3">
          <w:headerReference w:type="default" r:id="rId7"/>
          <w:footerReference w:type="default" r:id="rId8"/>
          <w:pgSz w:w="12240" w:h="15840"/>
          <w:pgMar w:top="1440" w:right="1440" w:bottom="1440" w:left="1440" w:header="720" w:footer="720" w:gutter="0"/>
          <w:cols w:space="720"/>
          <w:docGrid w:linePitch="360"/>
        </w:sectPr>
      </w:pPr>
    </w:p>
    <w:p w14:paraId="14C54587" w14:textId="4CBF6151" w:rsidR="00D722A3" w:rsidRDefault="00AF5D5D" w:rsidP="00EC1A47">
      <w:pPr>
        <w:pStyle w:val="Caption"/>
      </w:pPr>
      <w:bookmarkStart w:id="6" w:name="_Ref57024596"/>
      <w:r>
        <w:lastRenderedPageBreak/>
        <w:t xml:space="preserve">Figure </w:t>
      </w:r>
      <w:r>
        <w:rPr>
          <w:b w:val="0"/>
        </w:rPr>
        <w:fldChar w:fldCharType="begin"/>
      </w:r>
      <w:r>
        <w:rPr>
          <w:noProof/>
        </w:rPr>
        <w:instrText xml:space="preserve"> SEQ Figure \* ARABIC </w:instrText>
      </w:r>
      <w:r>
        <w:rPr>
          <w:b w:val="0"/>
        </w:rPr>
        <w:fldChar w:fldCharType="separate"/>
      </w:r>
      <w:r>
        <w:rPr>
          <w:noProof/>
        </w:rPr>
        <w:t>1</w:t>
      </w:r>
      <w:r>
        <w:rPr>
          <w:b w:val="0"/>
        </w:rPr>
        <w:fldChar w:fldCharType="end"/>
      </w:r>
      <w:bookmarkEnd w:id="6"/>
      <w:r>
        <w:t>:</w:t>
      </w:r>
      <w:r>
        <w:tab/>
      </w:r>
      <w:r w:rsidR="00D722A3" w:rsidRPr="00EE0C04">
        <w:rPr>
          <w:rFonts w:eastAsiaTheme="majorEastAsia"/>
        </w:rPr>
        <w:t>Kaplan-Meier Estimates of Time to First Occurrence of COVID-19 Starting After Randomization</w:t>
      </w:r>
      <w:r w:rsidR="00D722A3">
        <w:t>, mITT – Interim Analysis</w:t>
      </w:r>
    </w:p>
    <w:p w14:paraId="51BB2D4A" w14:textId="77777777" w:rsidR="00D722A3" w:rsidRDefault="00D722A3" w:rsidP="00D722A3">
      <w:pPr>
        <w:pStyle w:val="CTDText"/>
        <w:jc w:val="left"/>
      </w:pPr>
    </w:p>
    <w:p w14:paraId="4EE5B70C" w14:textId="3BA20589" w:rsidR="00EE0C04" w:rsidRDefault="00E6025B" w:rsidP="00E6025B">
      <w:pPr>
        <w:pStyle w:val="CTDText"/>
        <w:jc w:val="center"/>
      </w:pPr>
      <w:r>
        <w:rPr>
          <w:noProof/>
        </w:rPr>
        <w:drawing>
          <wp:inline distT="0" distB="0" distL="0" distR="0" wp14:anchorId="6E588412" wp14:editId="225C6C30">
            <wp:extent cx="6577608" cy="3733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9">
                      <a:extLst>
                        <a:ext uri="{28A0092B-C50C-407E-A947-70E740481C1C}">
                          <a14:useLocalDpi xmlns:a14="http://schemas.microsoft.com/office/drawing/2010/main" val="0"/>
                        </a:ext>
                      </a:extLst>
                    </a:blip>
                    <a:stretch>
                      <a:fillRect/>
                    </a:stretch>
                  </pic:blipFill>
                  <pic:spPr>
                    <a:xfrm>
                      <a:off x="0" y="0"/>
                      <a:ext cx="6577608" cy="3733800"/>
                    </a:xfrm>
                    <a:prstGeom prst="rect">
                      <a:avLst/>
                    </a:prstGeom>
                  </pic:spPr>
                </pic:pic>
              </a:graphicData>
            </a:graphic>
          </wp:inline>
        </w:drawing>
      </w:r>
    </w:p>
    <w:p w14:paraId="4B273ED3" w14:textId="77777777" w:rsidR="00D722A3" w:rsidRDefault="00D722A3" w:rsidP="00E6025B">
      <w:pPr>
        <w:pStyle w:val="CTDText"/>
        <w:jc w:val="center"/>
      </w:pPr>
    </w:p>
    <w:p w14:paraId="4DABE998" w14:textId="77777777" w:rsidR="0039504A" w:rsidRDefault="0039504A" w:rsidP="00EE0C04">
      <w:pPr>
        <w:pStyle w:val="CTDText"/>
        <w:sectPr w:rsidR="0039504A" w:rsidSect="00A60553">
          <w:headerReference w:type="default" r:id="rId10"/>
          <w:footerReference w:type="default" r:id="rId11"/>
          <w:pgSz w:w="15840" w:h="12240" w:orient="landscape"/>
          <w:pgMar w:top="1440" w:right="1440" w:bottom="1440" w:left="1440" w:header="720" w:footer="720" w:gutter="0"/>
          <w:cols w:space="720"/>
          <w:docGrid w:linePitch="360"/>
        </w:sectPr>
      </w:pPr>
    </w:p>
    <w:p w14:paraId="37302162" w14:textId="5779B12D" w:rsidR="000F46D4" w:rsidRDefault="00FB044D" w:rsidP="00770622">
      <w:pPr>
        <w:pStyle w:val="Heading1"/>
        <w:tabs>
          <w:tab w:val="clear" w:pos="482"/>
        </w:tabs>
        <w:ind w:left="720" w:hanging="720"/>
      </w:pPr>
      <w:bookmarkStart w:id="7" w:name="_Toc58842352"/>
      <w:bookmarkStart w:id="8" w:name="_Toc58842471"/>
      <w:r>
        <w:lastRenderedPageBreak/>
        <w:t xml:space="preserve">Data to </w:t>
      </w:r>
      <w:r w:rsidR="000C7AFE">
        <w:t>S</w:t>
      </w:r>
      <w:r>
        <w:t>uppor</w:t>
      </w:r>
      <w:r w:rsidR="000C7AFE">
        <w:t>t Efficacy Against Asymptomatic Infection</w:t>
      </w:r>
      <w:bookmarkEnd w:id="7"/>
      <w:bookmarkEnd w:id="8"/>
    </w:p>
    <w:p w14:paraId="61C7D45A" w14:textId="20807EE7" w:rsidR="00F878EE" w:rsidRDefault="00886BCA" w:rsidP="00770622">
      <w:pPr>
        <w:pStyle w:val="DocumentText"/>
        <w:spacing w:after="120"/>
        <w:rPr>
          <w:lang w:eastAsia="en-US"/>
        </w:rPr>
      </w:pPr>
      <w:r w:rsidRPr="00886BCA">
        <w:rPr>
          <w:lang w:eastAsia="en-US"/>
        </w:rPr>
        <w:t xml:space="preserve">Our protocol-specified analysis on the efficacy against asymptomatic infection was not available at the time of the EUA submission. However, </w:t>
      </w:r>
      <w:r w:rsidR="003A7FB6">
        <w:rPr>
          <w:lang w:eastAsia="en-US"/>
        </w:rPr>
        <w:t>we</w:t>
      </w:r>
      <w:r w:rsidRPr="00886BCA">
        <w:rPr>
          <w:lang w:eastAsia="en-US"/>
        </w:rPr>
        <w:t xml:space="preserve"> did collect pre-dose 1 and pre-dose 2 </w:t>
      </w:r>
      <w:r w:rsidR="003A7FB6">
        <w:rPr>
          <w:lang w:eastAsia="en-US"/>
        </w:rPr>
        <w:t xml:space="preserve">nasopharyngeal </w:t>
      </w:r>
      <w:r w:rsidRPr="00886BCA">
        <w:rPr>
          <w:lang w:eastAsia="en-US"/>
        </w:rPr>
        <w:t xml:space="preserve">swabs for SARS-CoV-2 virus and have performed a </w:t>
      </w:r>
      <w:r w:rsidR="1D5E1725" w:rsidRPr="1EC68665">
        <w:rPr>
          <w:lang w:eastAsia="en-US"/>
        </w:rPr>
        <w:t>descriptive</w:t>
      </w:r>
      <w:r w:rsidRPr="00886BCA">
        <w:rPr>
          <w:lang w:eastAsia="en-US"/>
        </w:rPr>
        <w:t xml:space="preserve"> </w:t>
      </w:r>
      <w:r w:rsidR="00CC5834">
        <w:rPr>
          <w:lang w:eastAsia="en-US"/>
        </w:rPr>
        <w:t>summary</w:t>
      </w:r>
      <w:r w:rsidRPr="00886BCA">
        <w:rPr>
          <w:lang w:eastAsia="en-US"/>
        </w:rPr>
        <w:t xml:space="preserve"> comparing the number of positive swabs at the pre-dose 2 timepoint in baseline </w:t>
      </w:r>
      <w:r w:rsidR="000B6E51">
        <w:rPr>
          <w:lang w:eastAsia="en-US"/>
        </w:rPr>
        <w:t>sero</w:t>
      </w:r>
      <w:r w:rsidRPr="00886BCA">
        <w:rPr>
          <w:lang w:eastAsia="en-US"/>
        </w:rPr>
        <w:t>negative participants to get an early idea on the possibility of prevention of asymptomatic infection.  Amongst baseline negative participants, 14 in the vaccine group and 38 in the placebo group had evidence of SARS-CoV-2 infection at the second dose</w:t>
      </w:r>
      <w:r w:rsidR="00ED4C6B">
        <w:rPr>
          <w:lang w:eastAsia="en-US"/>
        </w:rPr>
        <w:t xml:space="preserve"> without evidence of COVID-19 symptoms</w:t>
      </w:r>
      <w:r w:rsidRPr="00886BCA">
        <w:rPr>
          <w:lang w:eastAsia="en-US"/>
        </w:rPr>
        <w:t>. There were approximately 2/3 fewer swabs that were positive in the vaccine group as compared to the placebo group at the pre-dose 2 timepoint, suggesting th</w:t>
      </w:r>
      <w:r w:rsidR="691AAB45" w:rsidRPr="21F2B50A">
        <w:rPr>
          <w:lang w:eastAsia="en-US"/>
        </w:rPr>
        <w:t>at</w:t>
      </w:r>
      <w:r w:rsidRPr="00886BCA">
        <w:rPr>
          <w:lang w:eastAsia="en-US"/>
        </w:rPr>
        <w:t xml:space="preserve">  </w:t>
      </w:r>
      <w:r w:rsidR="6ADB26FB" w:rsidRPr="74442177">
        <w:rPr>
          <w:lang w:eastAsia="en-US"/>
        </w:rPr>
        <w:t xml:space="preserve">some </w:t>
      </w:r>
      <w:r w:rsidRPr="00886BCA">
        <w:rPr>
          <w:lang w:eastAsia="en-US"/>
        </w:rPr>
        <w:t xml:space="preserve">asymptomatic </w:t>
      </w:r>
      <w:r w:rsidRPr="49CAA883">
        <w:rPr>
          <w:lang w:eastAsia="en-US"/>
        </w:rPr>
        <w:t>infection</w:t>
      </w:r>
      <w:r w:rsidR="49DC642D" w:rsidRPr="49CAA883">
        <w:rPr>
          <w:lang w:eastAsia="en-US"/>
        </w:rPr>
        <w:t xml:space="preserve">s start to </w:t>
      </w:r>
      <w:r w:rsidR="49DC642D" w:rsidRPr="65CCD77E">
        <w:rPr>
          <w:lang w:eastAsia="en-US"/>
        </w:rPr>
        <w:t xml:space="preserve">be prevented after the </w:t>
      </w:r>
      <w:r w:rsidR="49DC642D" w:rsidRPr="115D55E1">
        <w:rPr>
          <w:lang w:eastAsia="en-US"/>
        </w:rPr>
        <w:t>first dose</w:t>
      </w:r>
      <w:r w:rsidRPr="115D55E1">
        <w:rPr>
          <w:lang w:eastAsia="en-US"/>
        </w:rPr>
        <w:t xml:space="preserve">.  </w:t>
      </w:r>
    </w:p>
    <w:p w14:paraId="4137D722" w14:textId="57BD83A4" w:rsidR="004906C3" w:rsidRDefault="00772FA1" w:rsidP="00772FA1">
      <w:pPr>
        <w:pStyle w:val="Caption"/>
      </w:pPr>
      <w:bookmarkStart w:id="9" w:name="_Ref57538449"/>
      <w:r>
        <w:t xml:space="preserve">Table </w:t>
      </w:r>
      <w:r>
        <w:fldChar w:fldCharType="begin"/>
      </w:r>
      <w:r>
        <w:instrText>SEQ Table \* ARABIC</w:instrText>
      </w:r>
      <w:r>
        <w:fldChar w:fldCharType="separate"/>
      </w:r>
      <w:r>
        <w:rPr>
          <w:noProof/>
        </w:rPr>
        <w:t>1</w:t>
      </w:r>
      <w:r>
        <w:fldChar w:fldCharType="end"/>
      </w:r>
      <w:bookmarkEnd w:id="9"/>
      <w:r>
        <w:t>:</w:t>
      </w:r>
      <w:r>
        <w:tab/>
      </w:r>
      <w:r w:rsidRPr="00C95796">
        <w:t>Summary</w:t>
      </w:r>
      <w:r w:rsidR="00090664">
        <w:t xml:space="preserve"> of Asymptomatic SARS-Co</w:t>
      </w:r>
      <w:r w:rsidR="69B330CF">
        <w:t>V</w:t>
      </w:r>
      <w:r w:rsidR="00090664">
        <w:t>-2 Infections as Measure by Scheduled Nasopharyngeal Swabs Prior to 2</w:t>
      </w:r>
      <w:r w:rsidR="00090664" w:rsidRPr="00090664">
        <w:rPr>
          <w:vertAlign w:val="superscript"/>
        </w:rPr>
        <w:t>nd</w:t>
      </w:r>
      <w:r w:rsidR="00090664">
        <w:t xml:space="preserve"> Injection, Per Protocol</w:t>
      </w:r>
    </w:p>
    <w:tbl>
      <w:tblPr>
        <w:tblW w:w="0" w:type="auto"/>
        <w:tblCellMar>
          <w:left w:w="0" w:type="dxa"/>
          <w:right w:w="0" w:type="dxa"/>
        </w:tblCellMar>
        <w:tblLook w:val="04A0" w:firstRow="1" w:lastRow="0" w:firstColumn="1" w:lastColumn="0" w:noHBand="0" w:noVBand="1"/>
      </w:tblPr>
      <w:tblGrid>
        <w:gridCol w:w="5670"/>
        <w:gridCol w:w="900"/>
        <w:gridCol w:w="900"/>
        <w:gridCol w:w="900"/>
        <w:gridCol w:w="963"/>
      </w:tblGrid>
      <w:tr w:rsidR="00EF48D5" w:rsidRPr="00EF48D5" w14:paraId="00A0C69B" w14:textId="77777777" w:rsidTr="00EF48D5">
        <w:tc>
          <w:tcPr>
            <w:tcW w:w="5670" w:type="dxa"/>
            <w:vMerge w:val="restart"/>
            <w:tcBorders>
              <w:top w:val="single" w:sz="8" w:space="0" w:color="1E2D3A"/>
              <w:left w:val="nil"/>
              <w:bottom w:val="single" w:sz="8" w:space="0" w:color="1E2D3A"/>
              <w:right w:val="nil"/>
            </w:tcBorders>
            <w:shd w:val="clear" w:color="auto" w:fill="BFBFBF" w:themeFill="background1" w:themeFillShade="BF"/>
            <w:tcMar>
              <w:top w:w="15" w:type="dxa"/>
              <w:left w:w="108" w:type="dxa"/>
              <w:bottom w:w="0" w:type="dxa"/>
              <w:right w:w="108" w:type="dxa"/>
            </w:tcMar>
            <w:vAlign w:val="bottom"/>
            <w:hideMark/>
          </w:tcPr>
          <w:p w14:paraId="57D07CEB" w14:textId="7C912DA5" w:rsidR="00F878EE" w:rsidRPr="00F878EE" w:rsidRDefault="00F878EE" w:rsidP="00EF48D5">
            <w:pPr>
              <w:pStyle w:val="DocumentText"/>
              <w:spacing w:after="0"/>
              <w:rPr>
                <w:lang w:eastAsia="en-US"/>
              </w:rPr>
            </w:pPr>
            <w:r w:rsidRPr="00F878EE">
              <w:rPr>
                <w:lang w:eastAsia="en-US"/>
              </w:rPr>
              <w:t xml:space="preserve">RT-PCR NP Swab Results </w:t>
            </w:r>
          </w:p>
        </w:tc>
        <w:tc>
          <w:tcPr>
            <w:tcW w:w="1800" w:type="dxa"/>
            <w:gridSpan w:val="2"/>
            <w:tcBorders>
              <w:top w:val="single" w:sz="8" w:space="0" w:color="1E2D3A"/>
              <w:left w:val="nil"/>
              <w:bottom w:val="single" w:sz="4" w:space="0" w:color="auto"/>
              <w:right w:val="nil"/>
            </w:tcBorders>
            <w:shd w:val="clear" w:color="auto" w:fill="BFBFBF" w:themeFill="background1" w:themeFillShade="BF"/>
            <w:tcMar>
              <w:top w:w="15" w:type="dxa"/>
              <w:left w:w="108" w:type="dxa"/>
              <w:bottom w:w="0" w:type="dxa"/>
              <w:right w:w="108" w:type="dxa"/>
            </w:tcMar>
            <w:vAlign w:val="bottom"/>
            <w:hideMark/>
          </w:tcPr>
          <w:p w14:paraId="74553556" w14:textId="77777777" w:rsidR="00F878EE" w:rsidRPr="00F878EE" w:rsidRDefault="00F878EE" w:rsidP="00EF48D5">
            <w:pPr>
              <w:pStyle w:val="DocumentText"/>
              <w:spacing w:after="0"/>
              <w:jc w:val="center"/>
              <w:rPr>
                <w:lang w:eastAsia="en-US"/>
              </w:rPr>
            </w:pPr>
            <w:r w:rsidRPr="00F878EE">
              <w:rPr>
                <w:lang w:eastAsia="en-US"/>
              </w:rPr>
              <w:t>mRNA-1273</w:t>
            </w:r>
          </w:p>
          <w:p w14:paraId="03EC08A6" w14:textId="77777777" w:rsidR="00F878EE" w:rsidRPr="00F878EE" w:rsidRDefault="00F878EE" w:rsidP="00EF48D5">
            <w:pPr>
              <w:pStyle w:val="DocumentText"/>
              <w:spacing w:after="0"/>
              <w:jc w:val="center"/>
              <w:rPr>
                <w:lang w:eastAsia="en-US"/>
              </w:rPr>
            </w:pPr>
            <w:r w:rsidRPr="00F878EE">
              <w:rPr>
                <w:lang w:eastAsia="en-US"/>
              </w:rPr>
              <w:t>N=14,134</w:t>
            </w:r>
          </w:p>
        </w:tc>
        <w:tc>
          <w:tcPr>
            <w:tcW w:w="1863" w:type="dxa"/>
            <w:gridSpan w:val="2"/>
            <w:tcBorders>
              <w:top w:val="single" w:sz="8" w:space="0" w:color="1E2D3A"/>
              <w:left w:val="nil"/>
              <w:bottom w:val="single" w:sz="4" w:space="0" w:color="auto"/>
              <w:right w:val="nil"/>
            </w:tcBorders>
            <w:shd w:val="clear" w:color="auto" w:fill="BFBFBF" w:themeFill="background1" w:themeFillShade="BF"/>
            <w:tcMar>
              <w:top w:w="15" w:type="dxa"/>
              <w:left w:w="108" w:type="dxa"/>
              <w:bottom w:w="0" w:type="dxa"/>
              <w:right w:w="108" w:type="dxa"/>
            </w:tcMar>
            <w:vAlign w:val="bottom"/>
            <w:hideMark/>
          </w:tcPr>
          <w:p w14:paraId="11148B12" w14:textId="77777777" w:rsidR="00F878EE" w:rsidRPr="00F878EE" w:rsidRDefault="00F878EE" w:rsidP="00EF48D5">
            <w:pPr>
              <w:pStyle w:val="DocumentText"/>
              <w:spacing w:after="0"/>
              <w:jc w:val="center"/>
              <w:rPr>
                <w:lang w:eastAsia="en-US"/>
              </w:rPr>
            </w:pPr>
            <w:r w:rsidRPr="00F878EE">
              <w:rPr>
                <w:lang w:eastAsia="en-US"/>
              </w:rPr>
              <w:t>Placebo</w:t>
            </w:r>
          </w:p>
          <w:p w14:paraId="5C27DEF2" w14:textId="77777777" w:rsidR="00F878EE" w:rsidRPr="00F878EE" w:rsidRDefault="00F878EE" w:rsidP="00EF48D5">
            <w:pPr>
              <w:pStyle w:val="DocumentText"/>
              <w:spacing w:after="0"/>
              <w:jc w:val="center"/>
              <w:rPr>
                <w:lang w:eastAsia="en-US"/>
              </w:rPr>
            </w:pPr>
            <w:r w:rsidRPr="00F878EE">
              <w:rPr>
                <w:lang w:eastAsia="en-US"/>
              </w:rPr>
              <w:t>N=14,073</w:t>
            </w:r>
          </w:p>
        </w:tc>
      </w:tr>
      <w:tr w:rsidR="00EF48D5" w:rsidRPr="00EF48D5" w14:paraId="59300305" w14:textId="77777777" w:rsidTr="211F72F4">
        <w:trPr>
          <w:trHeight w:val="53"/>
        </w:trPr>
        <w:tc>
          <w:tcPr>
            <w:tcW w:w="5670" w:type="dxa"/>
            <w:vMerge/>
            <w:vAlign w:val="center"/>
            <w:hideMark/>
          </w:tcPr>
          <w:p w14:paraId="32EFCFDF" w14:textId="77777777" w:rsidR="00F878EE" w:rsidRPr="00F878EE" w:rsidRDefault="00F878EE" w:rsidP="00EF48D5">
            <w:pPr>
              <w:pStyle w:val="DocumentText"/>
              <w:spacing w:after="0"/>
              <w:rPr>
                <w:lang w:eastAsia="en-US"/>
              </w:rPr>
            </w:pPr>
          </w:p>
        </w:tc>
        <w:tc>
          <w:tcPr>
            <w:tcW w:w="900" w:type="dxa"/>
            <w:tcBorders>
              <w:top w:val="single" w:sz="4" w:space="0" w:color="auto"/>
              <w:left w:val="nil"/>
              <w:bottom w:val="single" w:sz="8" w:space="0" w:color="1E2D3A"/>
              <w:right w:val="nil"/>
            </w:tcBorders>
            <w:shd w:val="clear" w:color="auto" w:fill="BFBFBF" w:themeFill="background1" w:themeFillShade="BF"/>
            <w:tcMar>
              <w:top w:w="15" w:type="dxa"/>
              <w:left w:w="108" w:type="dxa"/>
              <w:bottom w:w="0" w:type="dxa"/>
              <w:right w:w="108" w:type="dxa"/>
            </w:tcMar>
            <w:vAlign w:val="bottom"/>
            <w:hideMark/>
          </w:tcPr>
          <w:p w14:paraId="35067442" w14:textId="77777777" w:rsidR="00F878EE" w:rsidRPr="00F878EE" w:rsidRDefault="00F878EE" w:rsidP="00EF48D5">
            <w:pPr>
              <w:pStyle w:val="DocumentText"/>
              <w:spacing w:after="0"/>
              <w:jc w:val="center"/>
              <w:rPr>
                <w:lang w:eastAsia="en-US"/>
              </w:rPr>
            </w:pPr>
            <w:r w:rsidRPr="00F878EE">
              <w:rPr>
                <w:lang w:eastAsia="en-US"/>
              </w:rPr>
              <w:t>n</w:t>
            </w:r>
          </w:p>
        </w:tc>
        <w:tc>
          <w:tcPr>
            <w:tcW w:w="900" w:type="dxa"/>
            <w:tcBorders>
              <w:top w:val="single" w:sz="4" w:space="0" w:color="auto"/>
              <w:left w:val="nil"/>
              <w:bottom w:val="single" w:sz="8" w:space="0" w:color="1E2D3A"/>
              <w:right w:val="nil"/>
            </w:tcBorders>
            <w:shd w:val="clear" w:color="auto" w:fill="BFBFBF" w:themeFill="background1" w:themeFillShade="BF"/>
            <w:tcMar>
              <w:top w:w="15" w:type="dxa"/>
              <w:left w:w="108" w:type="dxa"/>
              <w:bottom w:w="0" w:type="dxa"/>
              <w:right w:w="108" w:type="dxa"/>
            </w:tcMar>
            <w:vAlign w:val="bottom"/>
            <w:hideMark/>
          </w:tcPr>
          <w:p w14:paraId="53A6C993" w14:textId="77777777" w:rsidR="00F878EE" w:rsidRPr="00F878EE" w:rsidRDefault="00F878EE" w:rsidP="00EF48D5">
            <w:pPr>
              <w:pStyle w:val="DocumentText"/>
              <w:spacing w:after="0"/>
              <w:jc w:val="center"/>
              <w:rPr>
                <w:lang w:eastAsia="en-US"/>
              </w:rPr>
            </w:pPr>
            <w:r w:rsidRPr="00F878EE">
              <w:rPr>
                <w:lang w:eastAsia="en-US"/>
              </w:rPr>
              <w:t>%</w:t>
            </w:r>
          </w:p>
        </w:tc>
        <w:tc>
          <w:tcPr>
            <w:tcW w:w="900" w:type="dxa"/>
            <w:tcBorders>
              <w:top w:val="single" w:sz="4" w:space="0" w:color="auto"/>
              <w:left w:val="nil"/>
              <w:bottom w:val="single" w:sz="8" w:space="0" w:color="1E2D3A"/>
              <w:right w:val="nil"/>
            </w:tcBorders>
            <w:shd w:val="clear" w:color="auto" w:fill="BFBFBF" w:themeFill="background1" w:themeFillShade="BF"/>
            <w:tcMar>
              <w:top w:w="15" w:type="dxa"/>
              <w:left w:w="108" w:type="dxa"/>
              <w:bottom w:w="0" w:type="dxa"/>
              <w:right w:w="108" w:type="dxa"/>
            </w:tcMar>
            <w:vAlign w:val="bottom"/>
            <w:hideMark/>
          </w:tcPr>
          <w:p w14:paraId="408FFA6F" w14:textId="77777777" w:rsidR="00F878EE" w:rsidRPr="00F878EE" w:rsidRDefault="00F878EE" w:rsidP="00EF48D5">
            <w:pPr>
              <w:pStyle w:val="DocumentText"/>
              <w:spacing w:after="0"/>
              <w:jc w:val="center"/>
              <w:rPr>
                <w:lang w:eastAsia="en-US"/>
              </w:rPr>
            </w:pPr>
            <w:r w:rsidRPr="00F878EE">
              <w:rPr>
                <w:lang w:eastAsia="en-US"/>
              </w:rPr>
              <w:t>N</w:t>
            </w:r>
          </w:p>
        </w:tc>
        <w:tc>
          <w:tcPr>
            <w:tcW w:w="963" w:type="dxa"/>
            <w:tcBorders>
              <w:top w:val="single" w:sz="4" w:space="0" w:color="auto"/>
              <w:left w:val="nil"/>
              <w:bottom w:val="single" w:sz="8" w:space="0" w:color="1E2D3A"/>
              <w:right w:val="nil"/>
            </w:tcBorders>
            <w:shd w:val="clear" w:color="auto" w:fill="BFBFBF" w:themeFill="background1" w:themeFillShade="BF"/>
            <w:tcMar>
              <w:top w:w="15" w:type="dxa"/>
              <w:left w:w="108" w:type="dxa"/>
              <w:bottom w:w="0" w:type="dxa"/>
              <w:right w:w="108" w:type="dxa"/>
            </w:tcMar>
            <w:vAlign w:val="bottom"/>
            <w:hideMark/>
          </w:tcPr>
          <w:p w14:paraId="6E875760" w14:textId="77777777" w:rsidR="00F878EE" w:rsidRPr="00F878EE" w:rsidRDefault="00F878EE" w:rsidP="00EF48D5">
            <w:pPr>
              <w:pStyle w:val="DocumentText"/>
              <w:spacing w:after="0"/>
              <w:jc w:val="center"/>
              <w:rPr>
                <w:lang w:eastAsia="en-US"/>
              </w:rPr>
            </w:pPr>
            <w:r w:rsidRPr="00F878EE">
              <w:rPr>
                <w:lang w:eastAsia="en-US"/>
              </w:rPr>
              <w:t>%</w:t>
            </w:r>
          </w:p>
        </w:tc>
      </w:tr>
      <w:tr w:rsidR="00EF48D5" w:rsidRPr="00EF48D5" w14:paraId="5416E54C" w14:textId="77777777" w:rsidTr="000C7AFE">
        <w:trPr>
          <w:trHeight w:val="864"/>
        </w:trPr>
        <w:tc>
          <w:tcPr>
            <w:tcW w:w="5670" w:type="dxa"/>
            <w:tcBorders>
              <w:top w:val="single" w:sz="8" w:space="0" w:color="1E2D3A"/>
              <w:left w:val="nil"/>
              <w:bottom w:val="single" w:sz="8" w:space="0" w:color="1E2D3A"/>
              <w:right w:val="nil"/>
            </w:tcBorders>
            <w:shd w:val="clear" w:color="auto" w:fill="D9D9D9" w:themeFill="background1" w:themeFillShade="D9"/>
            <w:tcMar>
              <w:top w:w="15" w:type="dxa"/>
              <w:left w:w="108" w:type="dxa"/>
              <w:bottom w:w="0" w:type="dxa"/>
              <w:right w:w="108" w:type="dxa"/>
            </w:tcMar>
            <w:vAlign w:val="center"/>
            <w:hideMark/>
          </w:tcPr>
          <w:p w14:paraId="21F0CE7B" w14:textId="77777777" w:rsidR="00F878EE" w:rsidRPr="00F878EE" w:rsidRDefault="00F878EE" w:rsidP="00EF48D5">
            <w:pPr>
              <w:pStyle w:val="DocumentText"/>
              <w:spacing w:after="0"/>
              <w:rPr>
                <w:lang w:eastAsia="en-US"/>
              </w:rPr>
            </w:pPr>
            <w:r w:rsidRPr="00F878EE">
              <w:rPr>
                <w:lang w:eastAsia="en-US"/>
              </w:rPr>
              <w:t>No documented COVID-19 symptoms between 1</w:t>
            </w:r>
            <w:r w:rsidRPr="00F878EE">
              <w:rPr>
                <w:vertAlign w:val="superscript"/>
                <w:lang w:eastAsia="en-US"/>
              </w:rPr>
              <w:t>st</w:t>
            </w:r>
            <w:r w:rsidRPr="00F878EE">
              <w:rPr>
                <w:lang w:eastAsia="en-US"/>
              </w:rPr>
              <w:t xml:space="preserve"> injection and 2</w:t>
            </w:r>
            <w:r w:rsidRPr="00F878EE">
              <w:rPr>
                <w:vertAlign w:val="superscript"/>
                <w:lang w:eastAsia="en-US"/>
              </w:rPr>
              <w:t>nd</w:t>
            </w:r>
            <w:r w:rsidRPr="00F878EE">
              <w:rPr>
                <w:lang w:eastAsia="en-US"/>
              </w:rPr>
              <w:t xml:space="preserve"> injection</w:t>
            </w:r>
          </w:p>
        </w:tc>
        <w:tc>
          <w:tcPr>
            <w:tcW w:w="900" w:type="dxa"/>
            <w:tcBorders>
              <w:top w:val="single" w:sz="8" w:space="0" w:color="1E2D3A"/>
              <w:left w:val="nil"/>
              <w:bottom w:val="single" w:sz="8" w:space="0" w:color="1E2D3A"/>
              <w:right w:val="nil"/>
            </w:tcBorders>
            <w:shd w:val="clear" w:color="auto" w:fill="auto"/>
            <w:tcMar>
              <w:top w:w="15" w:type="dxa"/>
              <w:left w:w="108" w:type="dxa"/>
              <w:bottom w:w="0" w:type="dxa"/>
              <w:right w:w="108" w:type="dxa"/>
            </w:tcMar>
            <w:vAlign w:val="center"/>
            <w:hideMark/>
          </w:tcPr>
          <w:p w14:paraId="2E2DFB3C" w14:textId="77777777" w:rsidR="00F878EE" w:rsidRPr="00F878EE" w:rsidRDefault="00F878EE" w:rsidP="00EF48D5">
            <w:pPr>
              <w:pStyle w:val="DocumentText"/>
              <w:spacing w:after="0"/>
              <w:jc w:val="center"/>
              <w:rPr>
                <w:lang w:eastAsia="en-US"/>
              </w:rPr>
            </w:pPr>
            <w:r w:rsidRPr="00F878EE">
              <w:rPr>
                <w:lang w:eastAsia="en-US"/>
              </w:rPr>
              <w:t>14</w:t>
            </w:r>
          </w:p>
        </w:tc>
        <w:tc>
          <w:tcPr>
            <w:tcW w:w="900" w:type="dxa"/>
            <w:tcBorders>
              <w:top w:val="single" w:sz="8" w:space="0" w:color="1E2D3A"/>
              <w:left w:val="nil"/>
              <w:bottom w:val="single" w:sz="8" w:space="0" w:color="1E2D3A"/>
              <w:right w:val="nil"/>
            </w:tcBorders>
            <w:shd w:val="clear" w:color="auto" w:fill="auto"/>
            <w:tcMar>
              <w:top w:w="15" w:type="dxa"/>
              <w:left w:w="108" w:type="dxa"/>
              <w:bottom w:w="0" w:type="dxa"/>
              <w:right w:w="108" w:type="dxa"/>
            </w:tcMar>
            <w:vAlign w:val="center"/>
            <w:hideMark/>
          </w:tcPr>
          <w:p w14:paraId="350BE944" w14:textId="77777777" w:rsidR="00F878EE" w:rsidRPr="00F878EE" w:rsidRDefault="00F878EE" w:rsidP="00EF48D5">
            <w:pPr>
              <w:pStyle w:val="DocumentText"/>
              <w:spacing w:after="0"/>
              <w:jc w:val="center"/>
              <w:rPr>
                <w:lang w:eastAsia="en-US"/>
              </w:rPr>
            </w:pPr>
            <w:r w:rsidRPr="00F878EE">
              <w:rPr>
                <w:lang w:eastAsia="en-US"/>
              </w:rPr>
              <w:t>0.1%</w:t>
            </w:r>
          </w:p>
        </w:tc>
        <w:tc>
          <w:tcPr>
            <w:tcW w:w="900" w:type="dxa"/>
            <w:tcBorders>
              <w:top w:val="single" w:sz="8" w:space="0" w:color="1E2D3A"/>
              <w:left w:val="nil"/>
              <w:bottom w:val="single" w:sz="8" w:space="0" w:color="1E2D3A"/>
              <w:right w:val="nil"/>
            </w:tcBorders>
            <w:shd w:val="clear" w:color="auto" w:fill="auto"/>
            <w:tcMar>
              <w:top w:w="15" w:type="dxa"/>
              <w:left w:w="108" w:type="dxa"/>
              <w:bottom w:w="0" w:type="dxa"/>
              <w:right w:w="108" w:type="dxa"/>
            </w:tcMar>
            <w:vAlign w:val="center"/>
            <w:hideMark/>
          </w:tcPr>
          <w:p w14:paraId="25009F96" w14:textId="77777777" w:rsidR="00F878EE" w:rsidRPr="00F878EE" w:rsidRDefault="00F878EE" w:rsidP="00EF48D5">
            <w:pPr>
              <w:pStyle w:val="DocumentText"/>
              <w:spacing w:after="0"/>
              <w:jc w:val="center"/>
              <w:rPr>
                <w:lang w:eastAsia="en-US"/>
              </w:rPr>
            </w:pPr>
            <w:r w:rsidRPr="00F878EE">
              <w:rPr>
                <w:lang w:eastAsia="en-US"/>
              </w:rPr>
              <w:t>38</w:t>
            </w:r>
          </w:p>
        </w:tc>
        <w:tc>
          <w:tcPr>
            <w:tcW w:w="963" w:type="dxa"/>
            <w:tcBorders>
              <w:top w:val="single" w:sz="8" w:space="0" w:color="1E2D3A"/>
              <w:left w:val="nil"/>
              <w:bottom w:val="single" w:sz="8" w:space="0" w:color="1E2D3A"/>
              <w:right w:val="nil"/>
            </w:tcBorders>
            <w:shd w:val="clear" w:color="auto" w:fill="auto"/>
            <w:tcMar>
              <w:top w:w="15" w:type="dxa"/>
              <w:left w:w="108" w:type="dxa"/>
              <w:bottom w:w="0" w:type="dxa"/>
              <w:right w:w="108" w:type="dxa"/>
            </w:tcMar>
            <w:vAlign w:val="center"/>
            <w:hideMark/>
          </w:tcPr>
          <w:p w14:paraId="23F6F4B7" w14:textId="77777777" w:rsidR="00F878EE" w:rsidRPr="00F878EE" w:rsidRDefault="00F878EE" w:rsidP="00EF48D5">
            <w:pPr>
              <w:pStyle w:val="DocumentText"/>
              <w:spacing w:after="0"/>
              <w:jc w:val="center"/>
              <w:rPr>
                <w:lang w:eastAsia="en-US"/>
              </w:rPr>
            </w:pPr>
            <w:r w:rsidRPr="00F878EE">
              <w:rPr>
                <w:lang w:eastAsia="en-US"/>
              </w:rPr>
              <w:t>0.3%</w:t>
            </w:r>
          </w:p>
        </w:tc>
      </w:tr>
    </w:tbl>
    <w:p w14:paraId="59FEFBFA" w14:textId="77777777" w:rsidR="00F878EE" w:rsidRPr="00F878EE" w:rsidRDefault="00F878EE" w:rsidP="00F878EE">
      <w:pPr>
        <w:pStyle w:val="DocumentText"/>
        <w:rPr>
          <w:lang w:eastAsia="en-US"/>
        </w:rPr>
      </w:pPr>
    </w:p>
    <w:sectPr w:rsidR="00F878EE" w:rsidRPr="00F878EE" w:rsidSect="00886BCA">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2C557" w14:textId="77777777" w:rsidR="00056CB8" w:rsidRDefault="00056CB8" w:rsidP="000F46D4">
      <w:pPr>
        <w:spacing w:after="0" w:line="240" w:lineRule="auto"/>
      </w:pPr>
      <w:r>
        <w:separator/>
      </w:r>
    </w:p>
  </w:endnote>
  <w:endnote w:type="continuationSeparator" w:id="0">
    <w:p w14:paraId="5C2DBF80" w14:textId="77777777" w:rsidR="00056CB8" w:rsidRDefault="00056CB8" w:rsidP="000F46D4">
      <w:pPr>
        <w:spacing w:after="0" w:line="240" w:lineRule="auto"/>
      </w:pPr>
      <w:r>
        <w:continuationSeparator/>
      </w:r>
    </w:p>
  </w:endnote>
  <w:endnote w:type="continuationNotice" w:id="1">
    <w:p w14:paraId="62612628" w14:textId="77777777" w:rsidR="00056CB8" w:rsidRDefault="00056C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13449" w14:textId="7F00731F" w:rsidR="00770622" w:rsidRPr="00770622" w:rsidRDefault="00770622">
    <w:pPr>
      <w:pStyle w:val="Footer"/>
      <w:rPr>
        <w:sz w:val="20"/>
        <w:szCs w:val="20"/>
      </w:rPr>
    </w:pPr>
    <w:r>
      <w:tab/>
    </w:r>
    <w:r>
      <w:tab/>
    </w:r>
    <w:r w:rsidRPr="00770622">
      <w:rPr>
        <w:sz w:val="20"/>
        <w:szCs w:val="20"/>
      </w:rPr>
      <w:t xml:space="preserve">Page </w:t>
    </w:r>
    <w:r w:rsidRPr="00770622">
      <w:rPr>
        <w:sz w:val="20"/>
        <w:szCs w:val="20"/>
      </w:rPr>
      <w:fldChar w:fldCharType="begin"/>
    </w:r>
    <w:r w:rsidRPr="00770622">
      <w:rPr>
        <w:sz w:val="20"/>
        <w:szCs w:val="20"/>
      </w:rPr>
      <w:instrText xml:space="preserve"> PAGE   \* MERGEFORMAT </w:instrText>
    </w:r>
    <w:r w:rsidRPr="00770622">
      <w:rPr>
        <w:sz w:val="20"/>
        <w:szCs w:val="20"/>
      </w:rPr>
      <w:fldChar w:fldCharType="separate"/>
    </w:r>
    <w:r w:rsidRPr="00770622">
      <w:rPr>
        <w:sz w:val="20"/>
        <w:szCs w:val="20"/>
      </w:rPr>
      <w:t>1</w:t>
    </w:r>
    <w:r w:rsidRPr="00770622">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F2E50" w14:textId="0188C374" w:rsidR="00770622" w:rsidRPr="00770622" w:rsidRDefault="00770622">
    <w:pPr>
      <w:pStyle w:val="Footer"/>
      <w:rPr>
        <w:sz w:val="20"/>
        <w:szCs w:val="20"/>
      </w:rPr>
    </w:pPr>
    <w:r>
      <w:tab/>
    </w:r>
    <w:r>
      <w:tab/>
    </w:r>
    <w:r>
      <w:tab/>
    </w:r>
    <w:r>
      <w:tab/>
    </w:r>
    <w:r>
      <w:tab/>
    </w:r>
    <w:r>
      <w:tab/>
    </w:r>
    <w:r w:rsidRPr="00770622">
      <w:rPr>
        <w:sz w:val="20"/>
        <w:szCs w:val="20"/>
      </w:rPr>
      <w:t xml:space="preserve">Page </w:t>
    </w:r>
    <w:r w:rsidRPr="00770622">
      <w:rPr>
        <w:sz w:val="20"/>
        <w:szCs w:val="20"/>
      </w:rPr>
      <w:fldChar w:fldCharType="begin"/>
    </w:r>
    <w:r w:rsidRPr="00770622">
      <w:rPr>
        <w:sz w:val="20"/>
        <w:szCs w:val="20"/>
      </w:rPr>
      <w:instrText xml:space="preserve"> PAGE   \* MERGEFORMAT </w:instrText>
    </w:r>
    <w:r w:rsidRPr="00770622">
      <w:rPr>
        <w:sz w:val="20"/>
        <w:szCs w:val="20"/>
      </w:rPr>
      <w:fldChar w:fldCharType="separate"/>
    </w:r>
    <w:r w:rsidRPr="00770622">
      <w:rPr>
        <w:sz w:val="20"/>
        <w:szCs w:val="20"/>
      </w:rPr>
      <w:t>1</w:t>
    </w:r>
    <w:r w:rsidRPr="00770622">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A0B18" w14:textId="148AF659" w:rsidR="00770622" w:rsidRPr="00770622" w:rsidRDefault="00770622">
    <w:pPr>
      <w:pStyle w:val="Footer"/>
      <w:rPr>
        <w:sz w:val="20"/>
        <w:szCs w:val="20"/>
      </w:rPr>
    </w:pPr>
    <w:r>
      <w:tab/>
    </w:r>
    <w:r>
      <w:tab/>
    </w:r>
    <w:r w:rsidRPr="00770622">
      <w:rPr>
        <w:sz w:val="20"/>
        <w:szCs w:val="20"/>
      </w:rPr>
      <w:t xml:space="preserve">Page </w:t>
    </w:r>
    <w:r w:rsidRPr="00770622">
      <w:rPr>
        <w:sz w:val="20"/>
        <w:szCs w:val="20"/>
      </w:rPr>
      <w:fldChar w:fldCharType="begin"/>
    </w:r>
    <w:r w:rsidRPr="00770622">
      <w:rPr>
        <w:sz w:val="20"/>
        <w:szCs w:val="20"/>
      </w:rPr>
      <w:instrText xml:space="preserve"> PAGE   \* MERGEFORMAT </w:instrText>
    </w:r>
    <w:r w:rsidRPr="00770622">
      <w:rPr>
        <w:sz w:val="20"/>
        <w:szCs w:val="20"/>
      </w:rPr>
      <w:fldChar w:fldCharType="separate"/>
    </w:r>
    <w:r w:rsidRPr="00770622">
      <w:rPr>
        <w:sz w:val="20"/>
        <w:szCs w:val="20"/>
      </w:rPr>
      <w:t>1</w:t>
    </w:r>
    <w:r w:rsidRPr="00770622">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49F75" w14:textId="77777777" w:rsidR="00056CB8" w:rsidRDefault="00056CB8" w:rsidP="000F46D4">
      <w:pPr>
        <w:spacing w:after="0" w:line="240" w:lineRule="auto"/>
      </w:pPr>
      <w:r>
        <w:separator/>
      </w:r>
    </w:p>
  </w:footnote>
  <w:footnote w:type="continuationSeparator" w:id="0">
    <w:p w14:paraId="7A8E1A78" w14:textId="77777777" w:rsidR="00056CB8" w:rsidRDefault="00056CB8" w:rsidP="000F46D4">
      <w:pPr>
        <w:spacing w:after="0" w:line="240" w:lineRule="auto"/>
      </w:pPr>
      <w:r>
        <w:continuationSeparator/>
      </w:r>
    </w:p>
  </w:footnote>
  <w:footnote w:type="continuationNotice" w:id="1">
    <w:p w14:paraId="17E0437C" w14:textId="77777777" w:rsidR="00056CB8" w:rsidRDefault="00056CB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89"/>
      <w:gridCol w:w="6571"/>
    </w:tblGrid>
    <w:tr w:rsidR="000F46D4" w:rsidRPr="000F46D4" w14:paraId="5C9828C5" w14:textId="77777777" w:rsidTr="00D47DC9">
      <w:trPr>
        <w:trHeight w:val="274"/>
      </w:trPr>
      <w:tc>
        <w:tcPr>
          <w:tcW w:w="2869" w:type="dxa"/>
          <w:tcMar>
            <w:left w:w="0" w:type="dxa"/>
            <w:right w:w="0" w:type="dxa"/>
          </w:tcMar>
          <w:vAlign w:val="bottom"/>
        </w:tcPr>
        <w:p w14:paraId="43257C5E" w14:textId="68CD7337" w:rsidR="000F46D4" w:rsidRPr="000F46D4" w:rsidRDefault="000F46D4" w:rsidP="000F46D4">
          <w:pPr>
            <w:pStyle w:val="Header"/>
            <w:rPr>
              <w:sz w:val="20"/>
              <w:szCs w:val="20"/>
            </w:rPr>
          </w:pPr>
          <w:proofErr w:type="spellStart"/>
          <w:r w:rsidRPr="000F46D4">
            <w:rPr>
              <w:sz w:val="20"/>
              <w:szCs w:val="20"/>
            </w:rPr>
            <w:t>ModernaTX</w:t>
          </w:r>
          <w:proofErr w:type="spellEnd"/>
          <w:r w:rsidRPr="000F46D4">
            <w:rPr>
              <w:sz w:val="20"/>
              <w:szCs w:val="20"/>
            </w:rPr>
            <w:t>, Inc.</w:t>
          </w:r>
          <w:r w:rsidRPr="000F46D4">
            <w:rPr>
              <w:sz w:val="20"/>
              <w:szCs w:val="20"/>
            </w:rPr>
            <w:tab/>
          </w:r>
        </w:p>
      </w:tc>
      <w:tc>
        <w:tcPr>
          <w:tcW w:w="6760" w:type="dxa"/>
          <w:tcMar>
            <w:left w:w="0" w:type="dxa"/>
            <w:right w:w="0" w:type="dxa"/>
          </w:tcMar>
          <w:vAlign w:val="center"/>
        </w:tcPr>
        <w:p w14:paraId="1020FD0A" w14:textId="77777777" w:rsidR="000F46D4" w:rsidRPr="000F46D4" w:rsidRDefault="000F46D4" w:rsidP="000F46D4">
          <w:pPr>
            <w:pStyle w:val="Header"/>
            <w:jc w:val="right"/>
            <w:rPr>
              <w:sz w:val="20"/>
              <w:szCs w:val="20"/>
            </w:rPr>
          </w:pPr>
          <w:r w:rsidRPr="000F46D4">
            <w:rPr>
              <w:sz w:val="20"/>
              <w:szCs w:val="20"/>
            </w:rPr>
            <w:tab/>
            <w:t>mRNA-1273</w:t>
          </w:r>
        </w:p>
      </w:tc>
    </w:tr>
    <w:tr w:rsidR="000F46D4" w:rsidRPr="000F46D4" w14:paraId="23909A6B" w14:textId="77777777" w:rsidTr="00D47DC9">
      <w:trPr>
        <w:trHeight w:val="257"/>
      </w:trPr>
      <w:tc>
        <w:tcPr>
          <w:tcW w:w="2869" w:type="dxa"/>
          <w:tcMar>
            <w:left w:w="0" w:type="dxa"/>
            <w:right w:w="0" w:type="dxa"/>
          </w:tcMar>
        </w:tcPr>
        <w:p w14:paraId="5460F9FD" w14:textId="6104A96C" w:rsidR="000F46D4" w:rsidRPr="000F46D4" w:rsidRDefault="000F46D4" w:rsidP="000F46D4">
          <w:pPr>
            <w:pStyle w:val="Header"/>
            <w:rPr>
              <w:bCs/>
              <w:sz w:val="20"/>
              <w:szCs w:val="20"/>
            </w:rPr>
          </w:pPr>
          <w:r w:rsidRPr="000F46D4">
            <w:rPr>
              <w:bCs/>
              <w:sz w:val="20"/>
              <w:szCs w:val="20"/>
            </w:rPr>
            <w:t>Briefing Document Addendum</w:t>
          </w:r>
        </w:p>
      </w:tc>
      <w:tc>
        <w:tcPr>
          <w:tcW w:w="6760" w:type="dxa"/>
          <w:tcMar>
            <w:left w:w="0" w:type="dxa"/>
            <w:right w:w="0" w:type="dxa"/>
          </w:tcMar>
          <w:vAlign w:val="center"/>
        </w:tcPr>
        <w:p w14:paraId="27633262" w14:textId="77777777" w:rsidR="000F46D4" w:rsidRPr="000F46D4" w:rsidRDefault="000F46D4" w:rsidP="000F46D4">
          <w:pPr>
            <w:pStyle w:val="Header"/>
            <w:jc w:val="right"/>
            <w:rPr>
              <w:sz w:val="20"/>
              <w:szCs w:val="20"/>
            </w:rPr>
          </w:pPr>
          <w:r w:rsidRPr="000F46D4">
            <w:rPr>
              <w:sz w:val="20"/>
              <w:szCs w:val="20"/>
            </w:rPr>
            <w:t>Vaccines and Related Biological Products Advisory Committee</w:t>
          </w:r>
        </w:p>
      </w:tc>
    </w:tr>
  </w:tbl>
  <w:p w14:paraId="66BC7413" w14:textId="77777777" w:rsidR="000F46D4" w:rsidRPr="000F46D4" w:rsidRDefault="000F46D4" w:rsidP="000F46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61"/>
      <w:gridCol w:w="9099"/>
    </w:tblGrid>
    <w:tr w:rsidR="00090664" w:rsidRPr="000F46D4" w14:paraId="7020D473" w14:textId="77777777" w:rsidTr="00D47DC9">
      <w:trPr>
        <w:trHeight w:val="274"/>
      </w:trPr>
      <w:tc>
        <w:tcPr>
          <w:tcW w:w="2869" w:type="dxa"/>
          <w:tcMar>
            <w:left w:w="0" w:type="dxa"/>
            <w:right w:w="0" w:type="dxa"/>
          </w:tcMar>
          <w:vAlign w:val="bottom"/>
        </w:tcPr>
        <w:p w14:paraId="0B040844" w14:textId="77777777" w:rsidR="00090664" w:rsidRPr="000F46D4" w:rsidRDefault="00090664" w:rsidP="000F46D4">
          <w:pPr>
            <w:pStyle w:val="Header"/>
            <w:rPr>
              <w:sz w:val="20"/>
              <w:szCs w:val="20"/>
            </w:rPr>
          </w:pPr>
          <w:r w:rsidRPr="000F46D4">
            <w:rPr>
              <w:sz w:val="20"/>
              <w:szCs w:val="20"/>
            </w:rPr>
            <w:t>ModernaTX, Inc.</w:t>
          </w:r>
          <w:r w:rsidRPr="000F46D4">
            <w:rPr>
              <w:sz w:val="20"/>
              <w:szCs w:val="20"/>
            </w:rPr>
            <w:tab/>
          </w:r>
        </w:p>
      </w:tc>
      <w:tc>
        <w:tcPr>
          <w:tcW w:w="6760" w:type="dxa"/>
          <w:tcMar>
            <w:left w:w="0" w:type="dxa"/>
            <w:right w:w="0" w:type="dxa"/>
          </w:tcMar>
          <w:vAlign w:val="center"/>
        </w:tcPr>
        <w:p w14:paraId="34BDCAFB" w14:textId="77777777" w:rsidR="00090664" w:rsidRPr="000F46D4" w:rsidRDefault="00090664" w:rsidP="000F46D4">
          <w:pPr>
            <w:pStyle w:val="Header"/>
            <w:jc w:val="right"/>
            <w:rPr>
              <w:sz w:val="20"/>
              <w:szCs w:val="20"/>
            </w:rPr>
          </w:pPr>
          <w:r w:rsidRPr="000F46D4">
            <w:rPr>
              <w:sz w:val="20"/>
              <w:szCs w:val="20"/>
            </w:rPr>
            <w:tab/>
            <w:t>mRNA-1273</w:t>
          </w:r>
        </w:p>
      </w:tc>
    </w:tr>
    <w:tr w:rsidR="00090664" w:rsidRPr="000F46D4" w14:paraId="0F23EC39" w14:textId="77777777" w:rsidTr="00D47DC9">
      <w:trPr>
        <w:trHeight w:val="257"/>
      </w:trPr>
      <w:tc>
        <w:tcPr>
          <w:tcW w:w="2869" w:type="dxa"/>
          <w:tcMar>
            <w:left w:w="0" w:type="dxa"/>
            <w:right w:w="0" w:type="dxa"/>
          </w:tcMar>
        </w:tcPr>
        <w:p w14:paraId="368334BE" w14:textId="77777777" w:rsidR="00090664" w:rsidRPr="000F46D4" w:rsidRDefault="00090664" w:rsidP="000F46D4">
          <w:pPr>
            <w:pStyle w:val="Header"/>
            <w:rPr>
              <w:bCs/>
              <w:sz w:val="20"/>
              <w:szCs w:val="20"/>
            </w:rPr>
          </w:pPr>
          <w:r w:rsidRPr="000F46D4">
            <w:rPr>
              <w:bCs/>
              <w:sz w:val="20"/>
              <w:szCs w:val="20"/>
            </w:rPr>
            <w:t>Briefing Document Addendum</w:t>
          </w:r>
        </w:p>
      </w:tc>
      <w:tc>
        <w:tcPr>
          <w:tcW w:w="6760" w:type="dxa"/>
          <w:tcMar>
            <w:left w:w="0" w:type="dxa"/>
            <w:right w:w="0" w:type="dxa"/>
          </w:tcMar>
          <w:vAlign w:val="center"/>
        </w:tcPr>
        <w:p w14:paraId="628B2554" w14:textId="77777777" w:rsidR="00090664" w:rsidRPr="000F46D4" w:rsidRDefault="00090664" w:rsidP="000F46D4">
          <w:pPr>
            <w:pStyle w:val="Header"/>
            <w:jc w:val="right"/>
            <w:rPr>
              <w:sz w:val="20"/>
              <w:szCs w:val="20"/>
            </w:rPr>
          </w:pPr>
          <w:r w:rsidRPr="000F46D4">
            <w:rPr>
              <w:sz w:val="20"/>
              <w:szCs w:val="20"/>
            </w:rPr>
            <w:t>Vaccines and Related Biological Products Advisory Committee</w:t>
          </w:r>
        </w:p>
      </w:tc>
    </w:tr>
  </w:tbl>
  <w:p w14:paraId="7029FEFA" w14:textId="77777777" w:rsidR="00090664" w:rsidRPr="000F46D4" w:rsidRDefault="00090664" w:rsidP="000F46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89"/>
      <w:gridCol w:w="6571"/>
    </w:tblGrid>
    <w:tr w:rsidR="009940DD" w:rsidRPr="000F46D4" w14:paraId="2B08DDE6" w14:textId="77777777" w:rsidTr="00D47DC9">
      <w:trPr>
        <w:trHeight w:val="274"/>
      </w:trPr>
      <w:tc>
        <w:tcPr>
          <w:tcW w:w="2869" w:type="dxa"/>
          <w:tcMar>
            <w:left w:w="0" w:type="dxa"/>
            <w:right w:w="0" w:type="dxa"/>
          </w:tcMar>
          <w:vAlign w:val="bottom"/>
        </w:tcPr>
        <w:p w14:paraId="336BB36B" w14:textId="77777777" w:rsidR="009940DD" w:rsidRPr="000F46D4" w:rsidRDefault="009940DD" w:rsidP="000F46D4">
          <w:pPr>
            <w:pStyle w:val="Header"/>
            <w:rPr>
              <w:sz w:val="20"/>
              <w:szCs w:val="20"/>
            </w:rPr>
          </w:pPr>
          <w:proofErr w:type="spellStart"/>
          <w:r w:rsidRPr="000F46D4">
            <w:rPr>
              <w:sz w:val="20"/>
              <w:szCs w:val="20"/>
            </w:rPr>
            <w:t>ModernaTX</w:t>
          </w:r>
          <w:proofErr w:type="spellEnd"/>
          <w:r w:rsidRPr="000F46D4">
            <w:rPr>
              <w:sz w:val="20"/>
              <w:szCs w:val="20"/>
            </w:rPr>
            <w:t>, Inc.</w:t>
          </w:r>
          <w:r w:rsidRPr="000F46D4">
            <w:rPr>
              <w:sz w:val="20"/>
              <w:szCs w:val="20"/>
            </w:rPr>
            <w:tab/>
          </w:r>
        </w:p>
      </w:tc>
      <w:tc>
        <w:tcPr>
          <w:tcW w:w="6760" w:type="dxa"/>
          <w:tcMar>
            <w:left w:w="0" w:type="dxa"/>
            <w:right w:w="0" w:type="dxa"/>
          </w:tcMar>
          <w:vAlign w:val="center"/>
        </w:tcPr>
        <w:p w14:paraId="45CED687" w14:textId="77777777" w:rsidR="009940DD" w:rsidRPr="000F46D4" w:rsidRDefault="009940DD" w:rsidP="000F46D4">
          <w:pPr>
            <w:pStyle w:val="Header"/>
            <w:jc w:val="right"/>
            <w:rPr>
              <w:sz w:val="20"/>
              <w:szCs w:val="20"/>
            </w:rPr>
          </w:pPr>
          <w:r w:rsidRPr="000F46D4">
            <w:rPr>
              <w:sz w:val="20"/>
              <w:szCs w:val="20"/>
            </w:rPr>
            <w:tab/>
            <w:t>mRNA-1273</w:t>
          </w:r>
        </w:p>
      </w:tc>
    </w:tr>
    <w:tr w:rsidR="009940DD" w:rsidRPr="000F46D4" w14:paraId="5F31F7D2" w14:textId="77777777" w:rsidTr="00D47DC9">
      <w:trPr>
        <w:trHeight w:val="257"/>
      </w:trPr>
      <w:tc>
        <w:tcPr>
          <w:tcW w:w="2869" w:type="dxa"/>
          <w:tcMar>
            <w:left w:w="0" w:type="dxa"/>
            <w:right w:w="0" w:type="dxa"/>
          </w:tcMar>
        </w:tcPr>
        <w:p w14:paraId="0E3586C4" w14:textId="77777777" w:rsidR="009940DD" w:rsidRPr="000F46D4" w:rsidRDefault="009940DD" w:rsidP="000F46D4">
          <w:pPr>
            <w:pStyle w:val="Header"/>
            <w:rPr>
              <w:bCs/>
              <w:sz w:val="20"/>
              <w:szCs w:val="20"/>
            </w:rPr>
          </w:pPr>
          <w:r w:rsidRPr="000F46D4">
            <w:rPr>
              <w:bCs/>
              <w:sz w:val="20"/>
              <w:szCs w:val="20"/>
            </w:rPr>
            <w:t>Briefing Document Addendum</w:t>
          </w:r>
        </w:p>
      </w:tc>
      <w:tc>
        <w:tcPr>
          <w:tcW w:w="6760" w:type="dxa"/>
          <w:tcMar>
            <w:left w:w="0" w:type="dxa"/>
            <w:right w:w="0" w:type="dxa"/>
          </w:tcMar>
          <w:vAlign w:val="center"/>
        </w:tcPr>
        <w:p w14:paraId="367FC83F" w14:textId="77777777" w:rsidR="009940DD" w:rsidRPr="000F46D4" w:rsidRDefault="009940DD" w:rsidP="000F46D4">
          <w:pPr>
            <w:pStyle w:val="Header"/>
            <w:jc w:val="right"/>
            <w:rPr>
              <w:sz w:val="20"/>
              <w:szCs w:val="20"/>
            </w:rPr>
          </w:pPr>
          <w:r w:rsidRPr="000F46D4">
            <w:rPr>
              <w:sz w:val="20"/>
              <w:szCs w:val="20"/>
            </w:rPr>
            <w:t>Vaccines and Related Biological Products Advisory Committee</w:t>
          </w:r>
        </w:p>
      </w:tc>
    </w:tr>
  </w:tbl>
  <w:p w14:paraId="1AFD1273" w14:textId="77777777" w:rsidR="009940DD" w:rsidRPr="000F46D4" w:rsidRDefault="009940DD" w:rsidP="000F46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D6F34"/>
    <w:multiLevelType w:val="hybridMultilevel"/>
    <w:tmpl w:val="9C26050C"/>
    <w:lvl w:ilvl="0" w:tplc="0A1899DA">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3054E6"/>
    <w:multiLevelType w:val="hybridMultilevel"/>
    <w:tmpl w:val="7C9CE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E6055D"/>
    <w:multiLevelType w:val="hybridMultilevel"/>
    <w:tmpl w:val="BCDE1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5897863"/>
    <w:multiLevelType w:val="multilevel"/>
    <w:tmpl w:val="FF2AAF4C"/>
    <w:lvl w:ilvl="0">
      <w:start w:val="1"/>
      <w:numFmt w:val="decimal"/>
      <w:lvlRestart w:val="0"/>
      <w:pStyle w:val="Heading1"/>
      <w:lvlText w:val="%1"/>
      <w:lvlJc w:val="left"/>
      <w:pPr>
        <w:ind w:left="281" w:hanging="281"/>
      </w:pPr>
      <w:rPr>
        <w:rFonts w:hint="default"/>
      </w:rPr>
    </w:lvl>
    <w:lvl w:ilvl="1">
      <w:start w:val="1"/>
      <w:numFmt w:val="decimal"/>
      <w:pStyle w:val="Heading2"/>
      <w:lvlText w:val="%1.%2"/>
      <w:lvlJc w:val="left"/>
      <w:pPr>
        <w:ind w:left="533" w:hanging="533"/>
      </w:pPr>
      <w:rPr>
        <w:rFonts w:hint="default"/>
      </w:rPr>
    </w:lvl>
    <w:lvl w:ilvl="2">
      <w:start w:val="1"/>
      <w:numFmt w:val="decimal"/>
      <w:pStyle w:val="Heading3"/>
      <w:lvlText w:val="%1.%2.%3"/>
      <w:lvlJc w:val="left"/>
      <w:pPr>
        <w:ind w:left="770" w:hanging="770"/>
      </w:pPr>
      <w:rPr>
        <w:rFonts w:hint="default"/>
      </w:rPr>
    </w:lvl>
    <w:lvl w:ilvl="3">
      <w:start w:val="1"/>
      <w:numFmt w:val="decimal"/>
      <w:pStyle w:val="Heading4"/>
      <w:lvlText w:val="%1.%2.%3.%4"/>
      <w:lvlJc w:val="left"/>
      <w:pPr>
        <w:ind w:left="994" w:hanging="994"/>
      </w:pPr>
      <w:rPr>
        <w:rFonts w:hint="default"/>
      </w:rPr>
    </w:lvl>
    <w:lvl w:ilvl="4">
      <w:start w:val="1"/>
      <w:numFmt w:val="decimal"/>
      <w:pStyle w:val="Heading5"/>
      <w:lvlText w:val="%1.%2.%3.%4.%5"/>
      <w:lvlJc w:val="left"/>
      <w:pPr>
        <w:ind w:left="1202" w:hanging="1202"/>
      </w:pPr>
      <w:rPr>
        <w:rFonts w:hint="default"/>
      </w:rPr>
    </w:lvl>
    <w:lvl w:ilvl="5">
      <w:start w:val="1"/>
      <w:numFmt w:val="decimal"/>
      <w:pStyle w:val="Heading6"/>
      <w:lvlText w:val="%1.%2.%3.%4.%5.%6"/>
      <w:lvlJc w:val="left"/>
      <w:pPr>
        <w:ind w:left="1397" w:hanging="1397"/>
      </w:pPr>
      <w:rPr>
        <w:rFonts w:hint="default"/>
      </w:rPr>
    </w:lvl>
    <w:lvl w:ilvl="6">
      <w:start w:val="1"/>
      <w:numFmt w:val="decimal"/>
      <w:pStyle w:val="Heading7"/>
      <w:lvlText w:val="%1.%2.%3.%4.%5.%6.%7"/>
      <w:lvlJc w:val="left"/>
      <w:pPr>
        <w:ind w:left="1577" w:hanging="1577"/>
      </w:pPr>
      <w:rPr>
        <w:rFonts w:hint="default"/>
      </w:rPr>
    </w:lvl>
    <w:lvl w:ilvl="7">
      <w:start w:val="1"/>
      <w:numFmt w:val="decimal"/>
      <w:pStyle w:val="Heading8"/>
      <w:lvlText w:val="%1.%2.%3.%4.%5.%6.%7.%8"/>
      <w:lvlJc w:val="left"/>
      <w:pPr>
        <w:ind w:left="1742" w:hanging="1742"/>
      </w:pPr>
      <w:rPr>
        <w:rFonts w:hint="default"/>
      </w:rPr>
    </w:lvl>
    <w:lvl w:ilvl="8">
      <w:start w:val="1"/>
      <w:numFmt w:val="decimal"/>
      <w:pStyle w:val="Heading9"/>
      <w:lvlText w:val="%1.%2.%3.%4.%5.%6.%7.%8.%9"/>
      <w:lvlJc w:val="left"/>
      <w:pPr>
        <w:ind w:left="1894" w:hanging="1894"/>
      </w:pPr>
      <w:rPr>
        <w:rFonts w:hint="default"/>
      </w:rPr>
    </w:lvl>
  </w:abstractNum>
  <w:num w:numId="1" w16cid:durableId="531695147">
    <w:abstractNumId w:val="0"/>
  </w:num>
  <w:num w:numId="2" w16cid:durableId="2066223797">
    <w:abstractNumId w:val="3"/>
  </w:num>
  <w:num w:numId="3" w16cid:durableId="1268124350">
    <w:abstractNumId w:val="3"/>
  </w:num>
  <w:num w:numId="4" w16cid:durableId="805125075">
    <w:abstractNumId w:val="3"/>
  </w:num>
  <w:num w:numId="5" w16cid:durableId="917253162">
    <w:abstractNumId w:val="3"/>
  </w:num>
  <w:num w:numId="6" w16cid:durableId="2026904690">
    <w:abstractNumId w:val="3"/>
  </w:num>
  <w:num w:numId="7" w16cid:durableId="1696156492">
    <w:abstractNumId w:val="3"/>
  </w:num>
  <w:num w:numId="8" w16cid:durableId="46346040">
    <w:abstractNumId w:val="3"/>
  </w:num>
  <w:num w:numId="9" w16cid:durableId="334767096">
    <w:abstractNumId w:val="3"/>
  </w:num>
  <w:num w:numId="10" w16cid:durableId="313878778">
    <w:abstractNumId w:val="3"/>
  </w:num>
  <w:num w:numId="11" w16cid:durableId="1393850412">
    <w:abstractNumId w:val="0"/>
  </w:num>
  <w:num w:numId="12" w16cid:durableId="1331711737">
    <w:abstractNumId w:val="2"/>
  </w:num>
  <w:num w:numId="13" w16cid:durableId="2109692782">
    <w:abstractNumId w:val="1"/>
  </w:num>
  <w:num w:numId="14" w16cid:durableId="1673098769">
    <w:abstractNumId w:val="3"/>
  </w:num>
  <w:num w:numId="15" w16cid:durableId="1570385574">
    <w:abstractNumId w:val="3"/>
  </w:num>
  <w:num w:numId="16" w16cid:durableId="968124931">
    <w:abstractNumId w:val="3"/>
  </w:num>
  <w:num w:numId="17" w16cid:durableId="443305511">
    <w:abstractNumId w:val="3"/>
  </w:num>
  <w:num w:numId="18" w16cid:durableId="473834522">
    <w:abstractNumId w:val="3"/>
  </w:num>
  <w:num w:numId="19" w16cid:durableId="1933539024">
    <w:abstractNumId w:val="3"/>
  </w:num>
  <w:num w:numId="20" w16cid:durableId="1186483577">
    <w:abstractNumId w:val="3"/>
  </w:num>
  <w:num w:numId="21" w16cid:durableId="76833349">
    <w:abstractNumId w:val="3"/>
  </w:num>
  <w:num w:numId="22" w16cid:durableId="805052438">
    <w:abstractNumId w:val="3"/>
  </w:num>
  <w:num w:numId="23" w16cid:durableId="21718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6D4"/>
    <w:rsid w:val="00010B58"/>
    <w:rsid w:val="00020C80"/>
    <w:rsid w:val="0004261A"/>
    <w:rsid w:val="00042E39"/>
    <w:rsid w:val="0004555D"/>
    <w:rsid w:val="00056CB8"/>
    <w:rsid w:val="0008110D"/>
    <w:rsid w:val="00090664"/>
    <w:rsid w:val="000A35AB"/>
    <w:rsid w:val="000A7840"/>
    <w:rsid w:val="000B6E51"/>
    <w:rsid w:val="000C7AFE"/>
    <w:rsid w:val="000D2655"/>
    <w:rsid w:val="000D2D2D"/>
    <w:rsid w:val="000F46D4"/>
    <w:rsid w:val="000F607C"/>
    <w:rsid w:val="00116D62"/>
    <w:rsid w:val="00192F64"/>
    <w:rsid w:val="001A3383"/>
    <w:rsid w:val="001B1C99"/>
    <w:rsid w:val="001D21A7"/>
    <w:rsid w:val="00200E6C"/>
    <w:rsid w:val="00201B48"/>
    <w:rsid w:val="00204C7B"/>
    <w:rsid w:val="00204F82"/>
    <w:rsid w:val="00222EB1"/>
    <w:rsid w:val="00245F51"/>
    <w:rsid w:val="002E7A38"/>
    <w:rsid w:val="002F3D20"/>
    <w:rsid w:val="003134E7"/>
    <w:rsid w:val="003449ED"/>
    <w:rsid w:val="003875D9"/>
    <w:rsid w:val="0039504A"/>
    <w:rsid w:val="003A5C2E"/>
    <w:rsid w:val="003A7FB6"/>
    <w:rsid w:val="003C5462"/>
    <w:rsid w:val="004070B5"/>
    <w:rsid w:val="00417163"/>
    <w:rsid w:val="00422677"/>
    <w:rsid w:val="00423CDA"/>
    <w:rsid w:val="00442AFF"/>
    <w:rsid w:val="00483D85"/>
    <w:rsid w:val="004906C3"/>
    <w:rsid w:val="0049384D"/>
    <w:rsid w:val="004E0C1C"/>
    <w:rsid w:val="004E2AC7"/>
    <w:rsid w:val="00526DD1"/>
    <w:rsid w:val="00572334"/>
    <w:rsid w:val="00591E94"/>
    <w:rsid w:val="005A5A49"/>
    <w:rsid w:val="005B272C"/>
    <w:rsid w:val="005F7239"/>
    <w:rsid w:val="0061504E"/>
    <w:rsid w:val="00620972"/>
    <w:rsid w:val="00622C39"/>
    <w:rsid w:val="00632CEE"/>
    <w:rsid w:val="00652D76"/>
    <w:rsid w:val="006606FA"/>
    <w:rsid w:val="006840BA"/>
    <w:rsid w:val="00691EBA"/>
    <w:rsid w:val="00696ECB"/>
    <w:rsid w:val="00697969"/>
    <w:rsid w:val="006A0C59"/>
    <w:rsid w:val="006E0587"/>
    <w:rsid w:val="00715940"/>
    <w:rsid w:val="00720B72"/>
    <w:rsid w:val="00757DDC"/>
    <w:rsid w:val="00761DD6"/>
    <w:rsid w:val="00770622"/>
    <w:rsid w:val="00772FA1"/>
    <w:rsid w:val="0077507C"/>
    <w:rsid w:val="00790522"/>
    <w:rsid w:val="007F74D6"/>
    <w:rsid w:val="00814760"/>
    <w:rsid w:val="00824B6E"/>
    <w:rsid w:val="00841AE8"/>
    <w:rsid w:val="00842DB7"/>
    <w:rsid w:val="00843674"/>
    <w:rsid w:val="00853A16"/>
    <w:rsid w:val="00876CD8"/>
    <w:rsid w:val="00882A97"/>
    <w:rsid w:val="00886BCA"/>
    <w:rsid w:val="008A5124"/>
    <w:rsid w:val="009456EA"/>
    <w:rsid w:val="00947CC8"/>
    <w:rsid w:val="009940DD"/>
    <w:rsid w:val="009963B8"/>
    <w:rsid w:val="009A0820"/>
    <w:rsid w:val="009A46D6"/>
    <w:rsid w:val="009F75D2"/>
    <w:rsid w:val="00A04CF2"/>
    <w:rsid w:val="00A1790F"/>
    <w:rsid w:val="00A60553"/>
    <w:rsid w:val="00A703B3"/>
    <w:rsid w:val="00A86387"/>
    <w:rsid w:val="00A97B62"/>
    <w:rsid w:val="00AC5CAE"/>
    <w:rsid w:val="00AD4E76"/>
    <w:rsid w:val="00AF5D5D"/>
    <w:rsid w:val="00B16FA1"/>
    <w:rsid w:val="00B37F8B"/>
    <w:rsid w:val="00B521A8"/>
    <w:rsid w:val="00B52FBE"/>
    <w:rsid w:val="00B5450E"/>
    <w:rsid w:val="00B70FE1"/>
    <w:rsid w:val="00B8380C"/>
    <w:rsid w:val="00BB0193"/>
    <w:rsid w:val="00BC065E"/>
    <w:rsid w:val="00BC4DB3"/>
    <w:rsid w:val="00BC781D"/>
    <w:rsid w:val="00BE5B56"/>
    <w:rsid w:val="00C04763"/>
    <w:rsid w:val="00C33DBB"/>
    <w:rsid w:val="00C53F55"/>
    <w:rsid w:val="00C61250"/>
    <w:rsid w:val="00C63685"/>
    <w:rsid w:val="00C74881"/>
    <w:rsid w:val="00C941A1"/>
    <w:rsid w:val="00CC5834"/>
    <w:rsid w:val="00CE5FD9"/>
    <w:rsid w:val="00D17140"/>
    <w:rsid w:val="00D17CBD"/>
    <w:rsid w:val="00D47DC9"/>
    <w:rsid w:val="00D560B8"/>
    <w:rsid w:val="00D61573"/>
    <w:rsid w:val="00D722A3"/>
    <w:rsid w:val="00DA7F4A"/>
    <w:rsid w:val="00DE2C88"/>
    <w:rsid w:val="00DE445B"/>
    <w:rsid w:val="00E32C1F"/>
    <w:rsid w:val="00E41411"/>
    <w:rsid w:val="00E6025B"/>
    <w:rsid w:val="00E84324"/>
    <w:rsid w:val="00E922C4"/>
    <w:rsid w:val="00EB77D9"/>
    <w:rsid w:val="00EC1A47"/>
    <w:rsid w:val="00ED0D4F"/>
    <w:rsid w:val="00ED4C6B"/>
    <w:rsid w:val="00EE0C04"/>
    <w:rsid w:val="00EF48D5"/>
    <w:rsid w:val="00EF66D9"/>
    <w:rsid w:val="00F203D8"/>
    <w:rsid w:val="00F20455"/>
    <w:rsid w:val="00F50448"/>
    <w:rsid w:val="00F878EE"/>
    <w:rsid w:val="00FB044D"/>
    <w:rsid w:val="00FC67E6"/>
    <w:rsid w:val="02450CA4"/>
    <w:rsid w:val="066786B4"/>
    <w:rsid w:val="0F9CDA2B"/>
    <w:rsid w:val="115D55E1"/>
    <w:rsid w:val="16CCEFBB"/>
    <w:rsid w:val="1ABDB14B"/>
    <w:rsid w:val="1D5E1725"/>
    <w:rsid w:val="1E294934"/>
    <w:rsid w:val="1EC68665"/>
    <w:rsid w:val="211F72F4"/>
    <w:rsid w:val="217937A4"/>
    <w:rsid w:val="21F2B50A"/>
    <w:rsid w:val="30B8BEC9"/>
    <w:rsid w:val="30D00B7E"/>
    <w:rsid w:val="331EA8CF"/>
    <w:rsid w:val="35A51B4D"/>
    <w:rsid w:val="41DB380C"/>
    <w:rsid w:val="46CBFF71"/>
    <w:rsid w:val="48F18ADF"/>
    <w:rsid w:val="49CAA883"/>
    <w:rsid w:val="49DC642D"/>
    <w:rsid w:val="524F8463"/>
    <w:rsid w:val="647404D3"/>
    <w:rsid w:val="64DC497B"/>
    <w:rsid w:val="65CCD77E"/>
    <w:rsid w:val="65EFBC6B"/>
    <w:rsid w:val="676E0D6A"/>
    <w:rsid w:val="6798D9D1"/>
    <w:rsid w:val="691AAB45"/>
    <w:rsid w:val="69B330CF"/>
    <w:rsid w:val="6ADB26FB"/>
    <w:rsid w:val="6F52EF3E"/>
    <w:rsid w:val="74442177"/>
    <w:rsid w:val="7737CB94"/>
    <w:rsid w:val="7877B8A0"/>
    <w:rsid w:val="7E30D9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082EF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1A47"/>
    <w:pPr>
      <w:spacing w:after="240" w:line="300" w:lineRule="auto"/>
    </w:pPr>
    <w:rPr>
      <w:kern w:val="24"/>
      <w:sz w:val="24"/>
      <w:szCs w:val="24"/>
      <w:lang w:eastAsia="ja-JP"/>
    </w:rPr>
  </w:style>
  <w:style w:type="paragraph" w:styleId="Heading1">
    <w:name w:val="heading 1"/>
    <w:basedOn w:val="DocumentText"/>
    <w:next w:val="DocumentText"/>
    <w:link w:val="Heading1Char"/>
    <w:qFormat/>
    <w:rsid w:val="00AF5D5D"/>
    <w:pPr>
      <w:keepNext/>
      <w:keepLines/>
      <w:numPr>
        <w:numId w:val="2"/>
      </w:numPr>
      <w:tabs>
        <w:tab w:val="left" w:pos="482"/>
      </w:tabs>
      <w:spacing w:before="120" w:after="120"/>
      <w:ind w:left="288" w:hanging="288"/>
      <w:outlineLvl w:val="0"/>
    </w:pPr>
    <w:rPr>
      <w:rFonts w:eastAsiaTheme="majorEastAsia" w:cstheme="majorBidi"/>
      <w:b/>
      <w:kern w:val="28"/>
      <w:sz w:val="28"/>
      <w:szCs w:val="28"/>
      <w:lang w:eastAsia="en-US"/>
    </w:rPr>
  </w:style>
  <w:style w:type="paragraph" w:styleId="Heading2">
    <w:name w:val="heading 2"/>
    <w:basedOn w:val="Heading1"/>
    <w:next w:val="DocumentText"/>
    <w:link w:val="Heading2Char"/>
    <w:qFormat/>
    <w:rsid w:val="00EC1A47"/>
    <w:pPr>
      <w:numPr>
        <w:ilvl w:val="1"/>
      </w:numPr>
      <w:tabs>
        <w:tab w:val="clear" w:pos="482"/>
        <w:tab w:val="left" w:pos="680"/>
      </w:tabs>
      <w:outlineLvl w:val="1"/>
    </w:pPr>
  </w:style>
  <w:style w:type="paragraph" w:styleId="Heading3">
    <w:name w:val="heading 3"/>
    <w:basedOn w:val="Heading1"/>
    <w:next w:val="DocumentText"/>
    <w:link w:val="Heading3Char"/>
    <w:qFormat/>
    <w:rsid w:val="00EC1A47"/>
    <w:pPr>
      <w:numPr>
        <w:ilvl w:val="2"/>
      </w:numPr>
      <w:tabs>
        <w:tab w:val="clear" w:pos="482"/>
        <w:tab w:val="left" w:pos="1021"/>
      </w:tabs>
      <w:outlineLvl w:val="2"/>
    </w:pPr>
  </w:style>
  <w:style w:type="paragraph" w:styleId="Heading4">
    <w:name w:val="heading 4"/>
    <w:basedOn w:val="Heading1"/>
    <w:next w:val="DocumentText"/>
    <w:link w:val="Heading4Char"/>
    <w:qFormat/>
    <w:rsid w:val="00EC1A47"/>
    <w:pPr>
      <w:numPr>
        <w:ilvl w:val="3"/>
      </w:numPr>
      <w:tabs>
        <w:tab w:val="clear" w:pos="482"/>
        <w:tab w:val="left" w:pos="1247"/>
      </w:tabs>
      <w:outlineLvl w:val="3"/>
    </w:pPr>
  </w:style>
  <w:style w:type="paragraph" w:styleId="Heading5">
    <w:name w:val="heading 5"/>
    <w:basedOn w:val="Heading1"/>
    <w:next w:val="DocumentText"/>
    <w:link w:val="Heading5Char"/>
    <w:qFormat/>
    <w:rsid w:val="00EC1A47"/>
    <w:pPr>
      <w:numPr>
        <w:ilvl w:val="4"/>
      </w:numPr>
      <w:tabs>
        <w:tab w:val="clear" w:pos="482"/>
        <w:tab w:val="left" w:pos="1588"/>
      </w:tabs>
      <w:outlineLvl w:val="4"/>
    </w:pPr>
  </w:style>
  <w:style w:type="paragraph" w:styleId="Heading6">
    <w:name w:val="heading 6"/>
    <w:basedOn w:val="Heading1"/>
    <w:next w:val="DocumentText"/>
    <w:link w:val="Heading6Char"/>
    <w:qFormat/>
    <w:rsid w:val="00EC1A47"/>
    <w:pPr>
      <w:numPr>
        <w:ilvl w:val="5"/>
      </w:numPr>
      <w:tabs>
        <w:tab w:val="clear" w:pos="482"/>
        <w:tab w:val="left" w:pos="1814"/>
      </w:tabs>
      <w:outlineLvl w:val="5"/>
    </w:pPr>
    <w:rPr>
      <w:rFonts w:eastAsia="Times New Roman" w:cs="Times New Roman"/>
    </w:rPr>
  </w:style>
  <w:style w:type="paragraph" w:styleId="Heading7">
    <w:name w:val="heading 7"/>
    <w:basedOn w:val="Heading1"/>
    <w:next w:val="DocumentText"/>
    <w:link w:val="Heading7Char"/>
    <w:qFormat/>
    <w:rsid w:val="00EC1A47"/>
    <w:pPr>
      <w:numPr>
        <w:ilvl w:val="6"/>
      </w:numPr>
      <w:tabs>
        <w:tab w:val="clear" w:pos="482"/>
        <w:tab w:val="left" w:pos="2155"/>
      </w:tabs>
      <w:outlineLvl w:val="6"/>
    </w:pPr>
    <w:rPr>
      <w:rFonts w:eastAsia="Times New Roman" w:cs="Times New Roman"/>
    </w:rPr>
  </w:style>
  <w:style w:type="paragraph" w:styleId="Heading8">
    <w:name w:val="heading 8"/>
    <w:basedOn w:val="Heading1"/>
    <w:next w:val="DocumentText"/>
    <w:link w:val="Heading8Char"/>
    <w:qFormat/>
    <w:rsid w:val="00EC1A47"/>
    <w:pPr>
      <w:numPr>
        <w:ilvl w:val="7"/>
      </w:numPr>
      <w:tabs>
        <w:tab w:val="clear" w:pos="482"/>
        <w:tab w:val="left" w:pos="2381"/>
      </w:tabs>
      <w:outlineLvl w:val="7"/>
    </w:pPr>
    <w:rPr>
      <w:rFonts w:eastAsia="Times New Roman" w:cs="Times New Roman"/>
    </w:rPr>
  </w:style>
  <w:style w:type="paragraph" w:styleId="Heading9">
    <w:name w:val="heading 9"/>
    <w:basedOn w:val="Heading1"/>
    <w:next w:val="DocumentText"/>
    <w:link w:val="Heading9Char"/>
    <w:qFormat/>
    <w:rsid w:val="00EC1A47"/>
    <w:pPr>
      <w:numPr>
        <w:ilvl w:val="8"/>
      </w:numPr>
      <w:tabs>
        <w:tab w:val="clear" w:pos="482"/>
        <w:tab w:val="left" w:pos="2722"/>
      </w:tabs>
      <w:outlineLvl w:val="8"/>
    </w:pPr>
    <w:rPr>
      <w:rFonts w:eastAsia="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46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46D4"/>
  </w:style>
  <w:style w:type="paragraph" w:styleId="Footer">
    <w:name w:val="footer"/>
    <w:basedOn w:val="Normal"/>
    <w:link w:val="FooterChar"/>
    <w:uiPriority w:val="99"/>
    <w:unhideWhenUsed/>
    <w:rsid w:val="000F46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46D4"/>
  </w:style>
  <w:style w:type="table" w:styleId="TableGrid">
    <w:name w:val="Table Grid"/>
    <w:basedOn w:val="TableNormal"/>
    <w:rsid w:val="000F4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ext">
    <w:name w:val="Document Text"/>
    <w:basedOn w:val="Normal"/>
    <w:link w:val="DocumentTextChar"/>
    <w:qFormat/>
    <w:rsid w:val="00EC1A47"/>
  </w:style>
  <w:style w:type="character" w:customStyle="1" w:styleId="DocumentTextChar">
    <w:name w:val="Document Text Char"/>
    <w:link w:val="DocumentText"/>
    <w:rsid w:val="00EC1A47"/>
    <w:rPr>
      <w:kern w:val="24"/>
      <w:sz w:val="24"/>
      <w:szCs w:val="24"/>
      <w:lang w:eastAsia="ja-JP"/>
    </w:rPr>
  </w:style>
  <w:style w:type="paragraph" w:customStyle="1" w:styleId="Guidance">
    <w:name w:val="Guidance"/>
    <w:basedOn w:val="DocumentText"/>
    <w:link w:val="GuidanceChar"/>
    <w:qFormat/>
    <w:rsid w:val="00EC1A47"/>
    <w:rPr>
      <w:i/>
      <w:lang w:eastAsia="en-US"/>
    </w:rPr>
  </w:style>
  <w:style w:type="character" w:customStyle="1" w:styleId="GuidanceChar">
    <w:name w:val="Guidance Char"/>
    <w:link w:val="Guidance"/>
    <w:rsid w:val="00EC1A47"/>
    <w:rPr>
      <w:i/>
      <w:kern w:val="24"/>
      <w:sz w:val="24"/>
      <w:szCs w:val="24"/>
    </w:rPr>
  </w:style>
  <w:style w:type="paragraph" w:customStyle="1" w:styleId="Appendix">
    <w:name w:val="Appendix"/>
    <w:basedOn w:val="Heading1"/>
    <w:next w:val="DocumentText"/>
    <w:qFormat/>
    <w:rsid w:val="00EC1A47"/>
    <w:pPr>
      <w:numPr>
        <w:numId w:val="1"/>
      </w:numPr>
    </w:pPr>
    <w:rPr>
      <w:rFonts w:eastAsia="Times New Roman" w:cs="Times New Roman"/>
    </w:rPr>
  </w:style>
  <w:style w:type="character" w:customStyle="1" w:styleId="Heading1Char">
    <w:name w:val="Heading 1 Char"/>
    <w:link w:val="Heading1"/>
    <w:rsid w:val="00AF5D5D"/>
    <w:rPr>
      <w:rFonts w:eastAsiaTheme="majorEastAsia" w:cstheme="majorBidi"/>
      <w:b/>
      <w:kern w:val="28"/>
      <w:sz w:val="28"/>
      <w:szCs w:val="28"/>
    </w:rPr>
  </w:style>
  <w:style w:type="paragraph" w:customStyle="1" w:styleId="CTDText">
    <w:name w:val="CTD Text"/>
    <w:link w:val="CTDTextChar"/>
    <w:qFormat/>
    <w:rsid w:val="00EC1A47"/>
    <w:pPr>
      <w:spacing w:after="240"/>
      <w:jc w:val="both"/>
    </w:pPr>
    <w:rPr>
      <w:sz w:val="24"/>
      <w:lang w:val="en-GB"/>
    </w:rPr>
  </w:style>
  <w:style w:type="character" w:customStyle="1" w:styleId="CTDTextChar">
    <w:name w:val="CTD Text Char"/>
    <w:link w:val="CTDText"/>
    <w:rsid w:val="00EC1A47"/>
    <w:rPr>
      <w:sz w:val="24"/>
      <w:lang w:val="en-GB"/>
    </w:rPr>
  </w:style>
  <w:style w:type="paragraph" w:customStyle="1" w:styleId="AppendicesListLevel2Heading">
    <w:name w:val="Appendices List Level 2 Heading"/>
    <w:basedOn w:val="Heading2"/>
    <w:next w:val="DocumentText"/>
    <w:qFormat/>
    <w:rsid w:val="00EC1A47"/>
    <w:pPr>
      <w:keepNext w:val="0"/>
      <w:numPr>
        <w:ilvl w:val="0"/>
        <w:numId w:val="0"/>
      </w:numPr>
    </w:pPr>
    <w:rPr>
      <w:rFonts w:eastAsia="Times New Roman" w:cs="Times New Roman"/>
      <w:b w:val="0"/>
      <w:sz w:val="24"/>
    </w:rPr>
  </w:style>
  <w:style w:type="character" w:customStyle="1" w:styleId="Heading2Char">
    <w:name w:val="Heading 2 Char"/>
    <w:link w:val="Heading2"/>
    <w:rsid w:val="00EC1A47"/>
    <w:rPr>
      <w:rFonts w:eastAsiaTheme="majorEastAsia" w:cstheme="majorBidi"/>
      <w:b/>
      <w:kern w:val="28"/>
      <w:sz w:val="28"/>
      <w:szCs w:val="28"/>
    </w:rPr>
  </w:style>
  <w:style w:type="paragraph" w:customStyle="1" w:styleId="AppendicesListLevel3Heading">
    <w:name w:val="Appendices List Level 3 Heading"/>
    <w:basedOn w:val="Heading3"/>
    <w:next w:val="DocumentText"/>
    <w:qFormat/>
    <w:rsid w:val="00EC1A47"/>
    <w:pPr>
      <w:keepNext w:val="0"/>
      <w:numPr>
        <w:ilvl w:val="0"/>
        <w:numId w:val="0"/>
      </w:numPr>
      <w:spacing w:before="0" w:after="0"/>
    </w:pPr>
    <w:rPr>
      <w:rFonts w:eastAsia="Times New Roman" w:cs="Times New Roman"/>
      <w:b w:val="0"/>
      <w:sz w:val="24"/>
    </w:rPr>
  </w:style>
  <w:style w:type="character" w:customStyle="1" w:styleId="Heading3Char">
    <w:name w:val="Heading 3 Char"/>
    <w:link w:val="Heading3"/>
    <w:rsid w:val="00EC1A47"/>
    <w:rPr>
      <w:rFonts w:eastAsiaTheme="majorEastAsia" w:cstheme="majorBidi"/>
      <w:b/>
      <w:kern w:val="28"/>
      <w:sz w:val="28"/>
      <w:szCs w:val="28"/>
    </w:rPr>
  </w:style>
  <w:style w:type="paragraph" w:customStyle="1" w:styleId="AppendicesListLevel4Heading">
    <w:name w:val="Appendices List Level 4 Heading"/>
    <w:basedOn w:val="Heading4"/>
    <w:next w:val="DocumentText"/>
    <w:qFormat/>
    <w:rsid w:val="00EC1A47"/>
    <w:pPr>
      <w:numPr>
        <w:ilvl w:val="0"/>
        <w:numId w:val="0"/>
      </w:numPr>
    </w:pPr>
    <w:rPr>
      <w:rFonts w:eastAsia="Times New Roman" w:cs="Times New Roman"/>
      <w:b w:val="0"/>
      <w:sz w:val="24"/>
    </w:rPr>
  </w:style>
  <w:style w:type="character" w:customStyle="1" w:styleId="Heading4Char">
    <w:name w:val="Heading 4 Char"/>
    <w:basedOn w:val="DefaultParagraphFont"/>
    <w:link w:val="Heading4"/>
    <w:rsid w:val="000F46D4"/>
    <w:rPr>
      <w:rFonts w:eastAsiaTheme="majorEastAsia" w:cstheme="majorBidi"/>
      <w:b/>
      <w:kern w:val="28"/>
      <w:sz w:val="28"/>
      <w:szCs w:val="28"/>
    </w:rPr>
  </w:style>
  <w:style w:type="paragraph" w:customStyle="1" w:styleId="AppendicesListLevel5Heading">
    <w:name w:val="Appendices List Level 5 Heading"/>
    <w:basedOn w:val="Heading5"/>
    <w:next w:val="DocumentText"/>
    <w:qFormat/>
    <w:rsid w:val="00EC1A47"/>
    <w:pPr>
      <w:numPr>
        <w:ilvl w:val="0"/>
        <w:numId w:val="0"/>
      </w:numPr>
    </w:pPr>
    <w:rPr>
      <w:rFonts w:eastAsia="Times New Roman" w:cs="Times New Roman"/>
      <w:b w:val="0"/>
      <w:sz w:val="24"/>
    </w:rPr>
  </w:style>
  <w:style w:type="character" w:customStyle="1" w:styleId="Heading5Char">
    <w:name w:val="Heading 5 Char"/>
    <w:basedOn w:val="DefaultParagraphFont"/>
    <w:link w:val="Heading5"/>
    <w:rsid w:val="000F46D4"/>
    <w:rPr>
      <w:rFonts w:eastAsiaTheme="majorEastAsia" w:cstheme="majorBidi"/>
      <w:b/>
      <w:kern w:val="28"/>
      <w:sz w:val="28"/>
      <w:szCs w:val="28"/>
    </w:rPr>
  </w:style>
  <w:style w:type="paragraph" w:customStyle="1" w:styleId="C-Footnote">
    <w:name w:val="C-Footnote"/>
    <w:basedOn w:val="Normal"/>
    <w:qFormat/>
    <w:rsid w:val="00EC1A47"/>
    <w:pPr>
      <w:tabs>
        <w:tab w:val="left" w:pos="144"/>
      </w:tabs>
      <w:spacing w:after="0" w:line="240" w:lineRule="auto"/>
    </w:pPr>
    <w:rPr>
      <w:rFonts w:cs="Arial"/>
      <w:kern w:val="0"/>
      <w:sz w:val="20"/>
      <w:szCs w:val="20"/>
      <w:lang w:eastAsia="en-US"/>
    </w:rPr>
  </w:style>
  <w:style w:type="character" w:customStyle="1" w:styleId="Heading6Char">
    <w:name w:val="Heading 6 Char"/>
    <w:basedOn w:val="DefaultParagraphFont"/>
    <w:link w:val="Heading6"/>
    <w:rsid w:val="000F46D4"/>
    <w:rPr>
      <w:b/>
      <w:kern w:val="28"/>
      <w:sz w:val="28"/>
      <w:szCs w:val="28"/>
    </w:rPr>
  </w:style>
  <w:style w:type="character" w:customStyle="1" w:styleId="Heading7Char">
    <w:name w:val="Heading 7 Char"/>
    <w:basedOn w:val="DefaultParagraphFont"/>
    <w:link w:val="Heading7"/>
    <w:rsid w:val="000F46D4"/>
    <w:rPr>
      <w:b/>
      <w:kern w:val="28"/>
      <w:sz w:val="28"/>
      <w:szCs w:val="28"/>
    </w:rPr>
  </w:style>
  <w:style w:type="character" w:customStyle="1" w:styleId="Heading8Char">
    <w:name w:val="Heading 8 Char"/>
    <w:basedOn w:val="DefaultParagraphFont"/>
    <w:link w:val="Heading8"/>
    <w:rsid w:val="000F46D4"/>
    <w:rPr>
      <w:b/>
      <w:kern w:val="28"/>
      <w:sz w:val="28"/>
      <w:szCs w:val="28"/>
    </w:rPr>
  </w:style>
  <w:style w:type="character" w:customStyle="1" w:styleId="Heading9Char">
    <w:name w:val="Heading 9 Char"/>
    <w:basedOn w:val="DefaultParagraphFont"/>
    <w:link w:val="Heading9"/>
    <w:rsid w:val="000F46D4"/>
    <w:rPr>
      <w:b/>
      <w:kern w:val="28"/>
      <w:sz w:val="28"/>
      <w:szCs w:val="28"/>
    </w:rPr>
  </w:style>
  <w:style w:type="paragraph" w:styleId="Caption">
    <w:name w:val="caption"/>
    <w:basedOn w:val="Normal"/>
    <w:next w:val="Normal"/>
    <w:qFormat/>
    <w:rsid w:val="00EC1A47"/>
    <w:pPr>
      <w:keepNext/>
      <w:spacing w:before="240" w:after="120" w:line="240" w:lineRule="auto"/>
      <w:ind w:left="1418" w:hanging="1418"/>
    </w:pPr>
    <w:rPr>
      <w:b/>
      <w:bCs/>
      <w:szCs w:val="20"/>
      <w:lang w:eastAsia="en-US"/>
    </w:rPr>
  </w:style>
  <w:style w:type="paragraph" w:styleId="Title">
    <w:name w:val="Title"/>
    <w:basedOn w:val="DocumentText"/>
    <w:next w:val="DocumentText"/>
    <w:link w:val="TitleChar"/>
    <w:uiPriority w:val="10"/>
    <w:qFormat/>
    <w:rsid w:val="00EC1A47"/>
    <w:pPr>
      <w:keepNext/>
      <w:keepLines/>
      <w:spacing w:after="0"/>
      <w:jc w:val="center"/>
    </w:pPr>
    <w:rPr>
      <w:rFonts w:cs="Arial"/>
      <w:b/>
      <w:bCs/>
      <w:kern w:val="28"/>
      <w:sz w:val="28"/>
      <w:szCs w:val="28"/>
      <w:lang w:eastAsia="en-US"/>
    </w:rPr>
  </w:style>
  <w:style w:type="character" w:customStyle="1" w:styleId="TitleChar">
    <w:name w:val="Title Char"/>
    <w:link w:val="Title"/>
    <w:uiPriority w:val="10"/>
    <w:rsid w:val="00EC1A47"/>
    <w:rPr>
      <w:rFonts w:cs="Arial"/>
      <w:b/>
      <w:bCs/>
      <w:kern w:val="28"/>
      <w:sz w:val="28"/>
      <w:szCs w:val="28"/>
    </w:rPr>
  </w:style>
  <w:style w:type="paragraph" w:styleId="ListParagraph">
    <w:name w:val="List Paragraph"/>
    <w:basedOn w:val="Normal"/>
    <w:uiPriority w:val="34"/>
    <w:qFormat/>
    <w:rsid w:val="000F46D4"/>
    <w:pPr>
      <w:ind w:left="720"/>
    </w:pPr>
  </w:style>
  <w:style w:type="character" w:customStyle="1" w:styleId="normaltextrun">
    <w:name w:val="normaltextrun"/>
    <w:rsid w:val="000F46D4"/>
  </w:style>
  <w:style w:type="paragraph" w:styleId="TOC1">
    <w:name w:val="toc 1"/>
    <w:basedOn w:val="Normal"/>
    <w:next w:val="Normal"/>
    <w:autoRedefine/>
    <w:uiPriority w:val="39"/>
    <w:unhideWhenUsed/>
    <w:rsid w:val="0061504E"/>
    <w:pPr>
      <w:tabs>
        <w:tab w:val="left" w:pos="440"/>
        <w:tab w:val="right" w:leader="dot" w:pos="9350"/>
      </w:tabs>
      <w:spacing w:after="100"/>
    </w:pPr>
    <w:rPr>
      <w:b/>
      <w:bCs/>
      <w:sz w:val="36"/>
      <w:szCs w:val="36"/>
    </w:rPr>
  </w:style>
  <w:style w:type="character" w:styleId="Hyperlink">
    <w:name w:val="Hyperlink"/>
    <w:basedOn w:val="DefaultParagraphFont"/>
    <w:uiPriority w:val="99"/>
    <w:unhideWhenUsed/>
    <w:rsid w:val="00090664"/>
    <w:rPr>
      <w:color w:val="0563C1" w:themeColor="hyperlink"/>
      <w:u w:val="single"/>
    </w:rPr>
  </w:style>
  <w:style w:type="paragraph" w:customStyle="1" w:styleId="TitleItalics">
    <w:name w:val="Title Italics"/>
    <w:basedOn w:val="Title"/>
    <w:link w:val="TitleItalicsChar"/>
    <w:qFormat/>
    <w:rsid w:val="0061504E"/>
    <w:pPr>
      <w:keepNext w:val="0"/>
      <w:keepLines w:val="0"/>
      <w:spacing w:line="259" w:lineRule="auto"/>
      <w:contextualSpacing/>
    </w:pPr>
    <w:rPr>
      <w:rFonts w:ascii="Arial" w:eastAsiaTheme="majorEastAsia" w:hAnsi="Arial" w:cstheme="majorBidi"/>
      <w:bCs w:val="0"/>
      <w:i/>
      <w:iCs/>
      <w:caps/>
      <w:spacing w:val="-10"/>
      <w:sz w:val="32"/>
      <w:szCs w:val="32"/>
    </w:rPr>
  </w:style>
  <w:style w:type="character" w:customStyle="1" w:styleId="TitleItalicsChar">
    <w:name w:val="Title Italics Char"/>
    <w:basedOn w:val="TitleChar"/>
    <w:link w:val="TitleItalics"/>
    <w:rsid w:val="0061504E"/>
    <w:rPr>
      <w:rFonts w:ascii="Arial" w:eastAsiaTheme="majorEastAsia" w:hAnsi="Arial" w:cstheme="majorBidi"/>
      <w:b/>
      <w:bCs w:val="0"/>
      <w:i/>
      <w:iCs/>
      <w:caps/>
      <w:spacing w:val="-10"/>
      <w:kern w:val="28"/>
      <w:sz w:val="32"/>
      <w:szCs w:val="32"/>
    </w:rPr>
  </w:style>
  <w:style w:type="character" w:styleId="CommentReference">
    <w:name w:val="annotation reference"/>
    <w:basedOn w:val="DefaultParagraphFont"/>
    <w:uiPriority w:val="99"/>
    <w:semiHidden/>
    <w:unhideWhenUsed/>
    <w:rsid w:val="00526DD1"/>
    <w:rPr>
      <w:sz w:val="16"/>
      <w:szCs w:val="16"/>
    </w:rPr>
  </w:style>
  <w:style w:type="paragraph" w:styleId="CommentText">
    <w:name w:val="annotation text"/>
    <w:basedOn w:val="Normal"/>
    <w:link w:val="CommentTextChar"/>
    <w:uiPriority w:val="99"/>
    <w:semiHidden/>
    <w:unhideWhenUsed/>
    <w:rsid w:val="00526DD1"/>
    <w:pPr>
      <w:spacing w:line="240" w:lineRule="auto"/>
    </w:pPr>
    <w:rPr>
      <w:sz w:val="20"/>
      <w:szCs w:val="20"/>
    </w:rPr>
  </w:style>
  <w:style w:type="character" w:customStyle="1" w:styleId="CommentTextChar">
    <w:name w:val="Comment Text Char"/>
    <w:basedOn w:val="DefaultParagraphFont"/>
    <w:link w:val="CommentText"/>
    <w:uiPriority w:val="99"/>
    <w:semiHidden/>
    <w:rsid w:val="00526DD1"/>
    <w:rPr>
      <w:kern w:val="24"/>
      <w:lang w:eastAsia="ja-JP"/>
    </w:rPr>
  </w:style>
  <w:style w:type="paragraph" w:styleId="CommentSubject">
    <w:name w:val="annotation subject"/>
    <w:basedOn w:val="CommentText"/>
    <w:next w:val="CommentText"/>
    <w:link w:val="CommentSubjectChar"/>
    <w:uiPriority w:val="99"/>
    <w:semiHidden/>
    <w:unhideWhenUsed/>
    <w:rsid w:val="00526DD1"/>
    <w:rPr>
      <w:b/>
      <w:bCs/>
    </w:rPr>
  </w:style>
  <w:style w:type="character" w:customStyle="1" w:styleId="CommentSubjectChar">
    <w:name w:val="Comment Subject Char"/>
    <w:basedOn w:val="CommentTextChar"/>
    <w:link w:val="CommentSubject"/>
    <w:uiPriority w:val="99"/>
    <w:semiHidden/>
    <w:rsid w:val="00526DD1"/>
    <w:rPr>
      <w:b/>
      <w:bCs/>
      <w:kern w:val="24"/>
      <w:lang w:eastAsia="ja-JP"/>
    </w:rPr>
  </w:style>
  <w:style w:type="paragraph" w:styleId="BalloonText">
    <w:name w:val="Balloon Text"/>
    <w:basedOn w:val="Normal"/>
    <w:link w:val="BalloonTextChar"/>
    <w:uiPriority w:val="99"/>
    <w:semiHidden/>
    <w:unhideWhenUsed/>
    <w:rsid w:val="00526D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6DD1"/>
    <w:rPr>
      <w:rFonts w:ascii="Segoe UI" w:hAnsi="Segoe UI" w:cs="Segoe UI"/>
      <w:kern w:val="24"/>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637379">
      <w:bodyDiv w:val="1"/>
      <w:marLeft w:val="0"/>
      <w:marRight w:val="0"/>
      <w:marTop w:val="0"/>
      <w:marBottom w:val="0"/>
      <w:divBdr>
        <w:top w:val="none" w:sz="0" w:space="0" w:color="auto"/>
        <w:left w:val="none" w:sz="0" w:space="0" w:color="auto"/>
        <w:bottom w:val="none" w:sz="0" w:space="0" w:color="auto"/>
        <w:right w:val="none" w:sz="0" w:space="0" w:color="auto"/>
      </w:divBdr>
    </w:div>
    <w:div w:id="1015497443">
      <w:bodyDiv w:val="1"/>
      <w:marLeft w:val="0"/>
      <w:marRight w:val="0"/>
      <w:marTop w:val="0"/>
      <w:marBottom w:val="0"/>
      <w:divBdr>
        <w:top w:val="none" w:sz="0" w:space="0" w:color="auto"/>
        <w:left w:val="none" w:sz="0" w:space="0" w:color="auto"/>
        <w:bottom w:val="none" w:sz="0" w:space="0" w:color="auto"/>
        <w:right w:val="none" w:sz="0" w:space="0" w:color="auto"/>
      </w:divBdr>
    </w:div>
    <w:div w:id="1289698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740</Words>
  <Characters>4220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4951</CharactersWithSpaces>
  <SharedDoc>false</SharedDoc>
  <HLinks>
    <vt:vector size="24" baseType="variant">
      <vt:variant>
        <vt:i4>1966136</vt:i4>
      </vt:variant>
      <vt:variant>
        <vt:i4>20</vt:i4>
      </vt:variant>
      <vt:variant>
        <vt:i4>0</vt:i4>
      </vt:variant>
      <vt:variant>
        <vt:i4>5</vt:i4>
      </vt:variant>
      <vt:variant>
        <vt:lpwstr/>
      </vt:variant>
      <vt:variant>
        <vt:lpwstr>_Toc58842471</vt:lpwstr>
      </vt:variant>
      <vt:variant>
        <vt:i4>2031672</vt:i4>
      </vt:variant>
      <vt:variant>
        <vt:i4>14</vt:i4>
      </vt:variant>
      <vt:variant>
        <vt:i4>0</vt:i4>
      </vt:variant>
      <vt:variant>
        <vt:i4>5</vt:i4>
      </vt:variant>
      <vt:variant>
        <vt:lpwstr/>
      </vt:variant>
      <vt:variant>
        <vt:lpwstr>_Toc58842470</vt:lpwstr>
      </vt:variant>
      <vt:variant>
        <vt:i4>1441849</vt:i4>
      </vt:variant>
      <vt:variant>
        <vt:i4>8</vt:i4>
      </vt:variant>
      <vt:variant>
        <vt:i4>0</vt:i4>
      </vt:variant>
      <vt:variant>
        <vt:i4>5</vt:i4>
      </vt:variant>
      <vt:variant>
        <vt:lpwstr/>
      </vt:variant>
      <vt:variant>
        <vt:lpwstr>_Toc58842469</vt:lpwstr>
      </vt:variant>
      <vt:variant>
        <vt:i4>1507385</vt:i4>
      </vt:variant>
      <vt:variant>
        <vt:i4>2</vt:i4>
      </vt:variant>
      <vt:variant>
        <vt:i4>0</vt:i4>
      </vt:variant>
      <vt:variant>
        <vt:i4>5</vt:i4>
      </vt:variant>
      <vt:variant>
        <vt:lpwstr/>
      </vt:variant>
      <vt:variant>
        <vt:lpwstr>_Toc58842468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2025-08-11T14:24:00Z</dcterms:created>
  <dcterms:modified xsi:type="dcterms:W3CDTF">2025-08-11T14:24:00Z</dcterms:modified>
</cp:coreProperties>
</file>